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1F53B">
      <w:pPr>
        <w:pStyle w:val="28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МЕТОДИЧЕСКИЕ РЕКОМЕНДАЦИИ </w:t>
      </w:r>
    </w:p>
    <w:p w14:paraId="1B81925F">
      <w:pPr>
        <w:pStyle w:val="28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по организации приема на обучение по программам бакалавриата, программам специалитета и базового высшего образования </w:t>
      </w:r>
    </w:p>
    <w:p w14:paraId="27BB0138">
      <w:pPr>
        <w:pStyle w:val="28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на места в пределах отдельной квоты в рамках </w:t>
      </w:r>
    </w:p>
    <w:p w14:paraId="47DB778D">
      <w:pPr>
        <w:pStyle w:val="28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приемной кампании 2026/27 учебного года</w:t>
      </w:r>
    </w:p>
    <w:p w14:paraId="49862A86">
      <w:pPr>
        <w:pStyle w:val="28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B1A2967">
      <w:pPr>
        <w:pStyle w:val="28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 xml:space="preserve">Общие положения </w:t>
      </w:r>
    </w:p>
    <w:p w14:paraId="75B31C45">
      <w:pPr>
        <w:pStyle w:val="19"/>
        <w:widowControl/>
        <w:ind w:firstLine="709"/>
        <w:jc w:val="center"/>
        <w:rPr>
          <w:rFonts w:ascii="Times New Roman" w:hAnsi="Times New Roman" w:cs="Times New Roman"/>
          <w:color w:val="000000"/>
          <w:sz w:val="10"/>
          <w:szCs w:val="28"/>
        </w:rPr>
      </w:pPr>
    </w:p>
    <w:p w14:paraId="73508AAF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Прием </w:t>
      </w:r>
      <w:r>
        <w:rPr>
          <w:shd w:val="clear" w:color="auto" w:fill="FFFFFF"/>
        </w:rPr>
        <w:t xml:space="preserve">на места в пределах отдельной квоты осуществляется </w:t>
      </w:r>
      <w:r>
        <w:rPr>
          <w:shd w:val="clear" w:color="auto" w:fill="FFFFFF"/>
        </w:rPr>
        <w:br w:type="textWrapping"/>
      </w:r>
      <w:r>
        <w:rPr>
          <w:shd w:val="clear" w:color="auto" w:fill="FFFFFF"/>
        </w:rPr>
        <w:t xml:space="preserve">в соответствии с </w:t>
      </w:r>
      <w:r>
        <w:t>Федеральным законом от 29 декабря 2012 г. № 273-ФЗ «Об образовании в Российской Федерации» (далее – Федеральный закон № 273-ФЗ) и</w:t>
      </w:r>
      <w:r>
        <w:rPr>
          <w:color w:val="000000"/>
        </w:rPr>
        <w:t xml:space="preserve"> </w:t>
      </w:r>
      <w:r>
        <w:t xml:space="preserve">Порядком приема на обучение по образовательным программам высшего образования – </w:t>
      </w:r>
      <w:r>
        <w:rPr>
          <w:lang w:eastAsia="en-US"/>
        </w:rPr>
        <w:t>программам бакалавриата, программам специалитета, программам магистратуры</w:t>
      </w:r>
      <w:r>
        <w:t xml:space="preserve">, утвержденным приказом Минобрнауки России </w:t>
      </w:r>
      <w:r>
        <w:br w:type="textWrapping"/>
      </w:r>
      <w:r>
        <w:t>от 27 ноября 2024 г. № 821 (далее – Порядок приема)</w:t>
      </w:r>
      <w:r>
        <w:rPr>
          <w:bCs/>
        </w:rPr>
        <w:t>.</w:t>
      </w:r>
    </w:p>
    <w:p w14:paraId="73E55315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Отдельная квота выделяется </w:t>
      </w:r>
      <w:r>
        <w:rPr>
          <w:color w:val="000000"/>
        </w:rPr>
        <w:t xml:space="preserve">по </w:t>
      </w:r>
      <w:r>
        <w:t xml:space="preserve">программам бакалавриата </w:t>
      </w:r>
      <w:r>
        <w:br w:type="textWrapping"/>
      </w:r>
      <w:r>
        <w:t xml:space="preserve">и программам специалитета за счет средств федерального бюджета, бюджетов субъектов Российской Федерации и местных бюджетов (далее – бюджетные средства) в размере не менее 10 % от объема контрольных цифр приема </w:t>
      </w:r>
      <w:r>
        <w:br w:type="textWrapping"/>
      </w:r>
      <w:r>
        <w:t xml:space="preserve">по каждой специальности или направлению подготовки. При проведении многопрофильного конкурса отдельная квота выделяется в размере не менее 10 % от суммарного объема контрольных цифр приема по специальностям </w:t>
      </w:r>
      <w:r>
        <w:br w:type="textWrapping"/>
      </w:r>
      <w:r>
        <w:t xml:space="preserve">или направлениям подготовки, включенным в конкурс. </w:t>
      </w:r>
      <w:r>
        <w:rPr>
          <w:color w:val="000000"/>
        </w:rPr>
        <w:t xml:space="preserve">На места в пределах </w:t>
      </w:r>
      <w:r>
        <w:t>отде</w:t>
      </w:r>
      <w:r>
        <w:rPr>
          <w:color w:val="000000"/>
        </w:rPr>
        <w:t xml:space="preserve">льной квоты проводится отдельный конкурс. </w:t>
      </w:r>
    </w:p>
    <w:p w14:paraId="3FB1420B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Положения настоящих Рекомендаций распространяются на прием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на места в пределах отдельной квоты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по </w:t>
      </w:r>
      <w:r>
        <w:rPr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 xml:space="preserve">программам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базового высшего образования, предусмотренным постановлением Правительства Российской Федерации от 9 августа 2023 г. № 1302 «О реализации пилотного проекта, направленного на изменение уровней профессионального образования».</w:t>
      </w:r>
    </w:p>
    <w:p w14:paraId="0E3F6BC1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Право на прием на места отдельной квоты предоставляется только тем лицам, которые имеют право поступать на обучение по программам бакалавриата и специалитета за счет бюджетных средств, то есть лицам, которые получают высшее образование по программам бакалавриата </w:t>
      </w:r>
      <w:r>
        <w:br w:type="textWrapping"/>
      </w:r>
      <w:r>
        <w:t xml:space="preserve">и специалитета впервые и не имеют оснований для получения второго (последующего) высшего образования по программам бакалавриата </w:t>
      </w:r>
      <w:r>
        <w:br w:type="textWrapping"/>
      </w:r>
      <w:r>
        <w:t>и специалитета за счет бюджетных средств.</w:t>
      </w:r>
    </w:p>
    <w:p w14:paraId="321570BA">
      <w:pPr>
        <w:pStyle w:val="28"/>
        <w:tabs>
          <w:tab w:val="left" w:pos="1134"/>
        </w:tabs>
        <w:jc w:val="both"/>
      </w:pPr>
    </w:p>
    <w:p w14:paraId="7B927073">
      <w:pPr>
        <w:pStyle w:val="28"/>
        <w:keepNext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>
        <w:rPr>
          <w:b/>
        </w:rPr>
        <w:t xml:space="preserve">Перераспределение бюджетных мест </w:t>
      </w:r>
    </w:p>
    <w:p w14:paraId="3BF0E6A9">
      <w:pPr>
        <w:pStyle w:val="28"/>
        <w:keepNext/>
        <w:tabs>
          <w:tab w:val="left" w:pos="709"/>
        </w:tabs>
        <w:jc w:val="both"/>
        <w:rPr>
          <w:sz w:val="10"/>
        </w:rPr>
      </w:pPr>
    </w:p>
    <w:p w14:paraId="23CDB70A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19 июня </w:t>
      </w:r>
      <w:r>
        <w:t xml:space="preserve">не позднее 18:00 по московскому времени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невостребованные места целевой квоты (в случае если заказчики целевого обучения (далее – заказчики) сформировали предложения о заключении договоров о целевом обучении на меньшее количество мест, чем величина целевой квоты, или не сформировали их) переносятся в отдельную квоту. Указанный перенос осуществляется по решению организации, осуществляющей образовательную деятельность (далее – организация), согласно пункту 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124(1) Порядка приема. При этом организациям рекомендуется предварительно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уточнить у заказчиков, указанных в распоряжении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Правительства Российской Федерации от 10 апреля 2026 г. № 803-р, информацию о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формировании предложений.</w:t>
      </w:r>
    </w:p>
    <w:p w14:paraId="25F3C5B6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На приоритетном этапе зачисления (пункт 124(2) Порядка приема):</w:t>
      </w:r>
    </w:p>
    <w:p w14:paraId="13F4B11C">
      <w:pPr>
        <w:pStyle w:val="28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 xml:space="preserve">невостребованные места особой квоты и (или) целевой квоты </w:t>
      </w:r>
      <w:r>
        <w:br w:type="textWrapping"/>
      </w:r>
      <w:r>
        <w:t>(если число поступающих, представивших согласие на зачисление на места особой квоты и (или) целевой квоты, меньше количества указанных мест) переносятся в отдельную квоту;</w:t>
      </w:r>
    </w:p>
    <w:p w14:paraId="2D3B386B">
      <w:pPr>
        <w:pStyle w:val="28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>невостребованные места отдельной квоты (если число поступающих, представивших согласие на зачисление на места отдельной квоты, меньше количества указанных мест) переносятся:</w:t>
      </w:r>
    </w:p>
    <w:p w14:paraId="53F03204">
      <w:pPr>
        <w:pStyle w:val="28"/>
        <w:tabs>
          <w:tab w:val="left" w:pos="1134"/>
        </w:tabs>
        <w:ind w:firstLine="709"/>
      </w:pPr>
      <w:r>
        <w:t xml:space="preserve">при недостатке мест особой квоты – в особую квоту; </w:t>
      </w:r>
    </w:p>
    <w:p w14:paraId="40BBB8CB">
      <w:pPr>
        <w:pStyle w:val="28"/>
        <w:tabs>
          <w:tab w:val="left" w:pos="1134"/>
        </w:tabs>
        <w:ind w:firstLine="709"/>
      </w:pPr>
      <w:r>
        <w:t>при отсутствии недостатка мест особой квоты – в основные бюджетные места.</w:t>
      </w:r>
    </w:p>
    <w:p w14:paraId="7CAD0874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После завершения приоритетного этапа зачисления места целевой квоты, которые являются незаполненными и (или) освобождаются, добавляются к основным бюджетным местам (пункт 114 Порядка приема).</w:t>
      </w:r>
    </w:p>
    <w:p w14:paraId="152A39A3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Перенос мест проводится в пределах конкурсного профиля (в рамках контрольных цифр приема по головной организации или филиалу по форме обучения, специальности, направлению подготовки, укрупненной </w:t>
      </w:r>
      <w:r>
        <w:t xml:space="preserve">группе специальностей, направлений подготовки, образовательной программе, выделенной в рамках специальности или направления подготовки (профиля). </w:t>
      </w:r>
    </w:p>
    <w:p w14:paraId="0FF1E07C">
      <w:pPr>
        <w:pStyle w:val="28"/>
        <w:tabs>
          <w:tab w:val="left" w:pos="1134"/>
        </w:tabs>
        <w:ind w:firstLine="709"/>
        <w:jc w:val="both"/>
      </w:pPr>
    </w:p>
    <w:p w14:paraId="4D3DA659">
      <w:pPr>
        <w:pStyle w:val="28"/>
        <w:keepNext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color w:val="000000"/>
        </w:rPr>
      </w:pPr>
      <w:r>
        <w:rPr>
          <w:b/>
        </w:rPr>
        <w:t xml:space="preserve">Прием </w:t>
      </w:r>
      <w:r>
        <w:rPr>
          <w:b/>
          <w:color w:val="000000"/>
        </w:rPr>
        <w:t xml:space="preserve">в пределах </w:t>
      </w:r>
      <w:r>
        <w:rPr>
          <w:b/>
        </w:rPr>
        <w:t>отде</w:t>
      </w:r>
      <w:r>
        <w:rPr>
          <w:b/>
          <w:color w:val="000000"/>
        </w:rPr>
        <w:t>льной квоты</w:t>
      </w:r>
    </w:p>
    <w:p w14:paraId="5123921A">
      <w:pPr>
        <w:pStyle w:val="28"/>
        <w:keepNext/>
        <w:tabs>
          <w:tab w:val="left" w:pos="567"/>
        </w:tabs>
        <w:jc w:val="center"/>
        <w:rPr>
          <w:b/>
          <w:color w:val="000000"/>
        </w:rPr>
      </w:pPr>
      <w:r>
        <w:rPr>
          <w:b/>
        </w:rPr>
        <w:t>различных категорий поступающих</w:t>
      </w:r>
    </w:p>
    <w:p w14:paraId="5CA8CD41">
      <w:pPr>
        <w:pStyle w:val="28"/>
        <w:tabs>
          <w:tab w:val="left" w:pos="1134"/>
        </w:tabs>
        <w:ind w:firstLine="709"/>
        <w:jc w:val="both"/>
        <w:rPr>
          <w:sz w:val="10"/>
        </w:rPr>
      </w:pPr>
    </w:p>
    <w:p w14:paraId="52D72056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Право на прием на места в пределах отдельной квоты имеют лица, указанные в части 5.1 статьи 71 Федерального закона № 273-ФЗ:</w:t>
      </w:r>
    </w:p>
    <w:p w14:paraId="22006866">
      <w:pPr>
        <w:pStyle w:val="28"/>
        <w:ind w:firstLine="709"/>
        <w:jc w:val="both"/>
      </w:pPr>
      <w:r>
        <w:t>1) Герои Российской Федерации, лица, награжденные тремя орденами Мужества (пункт 1 части 5.1 статьи 71 Федерального закона № 273-ФЗ);</w:t>
      </w:r>
    </w:p>
    <w:p w14:paraId="04B1CCC7">
      <w:pPr>
        <w:pStyle w:val="28"/>
        <w:ind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p1"/>
      <w:bookmarkEnd w:id="0"/>
      <w:r>
        <w:rPr>
          <w:color w:val="000000" w:themeColor="text1"/>
          <w14:textFill>
            <w14:solidFill>
              <w14:schemeClr w14:val="tx1"/>
            </w14:solidFill>
          </w14:textFill>
        </w:rPr>
        <w:t>2) лица, принимавшие участие в специальной военной операции,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 (далее – участники СВО), согласно  пунктам 2–4 части 5.1 статьи 71 Федерального закона № 273-ФЗ;</w:t>
      </w:r>
    </w:p>
    <w:p w14:paraId="340998DA">
      <w:pPr>
        <w:pStyle w:val="28"/>
        <w:ind w:firstLine="709"/>
        <w:jc w:val="both"/>
      </w:pPr>
      <w:bookmarkStart w:id="1" w:name="p4"/>
      <w:bookmarkEnd w:id="1"/>
      <w:r>
        <w:t>3) дети участников СВО (пункт 5 части 5.1 статьи 71 Федерального закона № 273-ФЗ);</w:t>
      </w:r>
    </w:p>
    <w:p w14:paraId="6F39C3A0">
      <w:pPr>
        <w:pStyle w:val="28"/>
        <w:ind w:firstLine="709"/>
        <w:jc w:val="both"/>
      </w:pPr>
      <w:r>
        <w:t xml:space="preserve">4) дети участников боевых действий в других государствах </w:t>
      </w:r>
      <w:r>
        <w:br w:type="textWrapping"/>
      </w:r>
      <w:r>
        <w:t xml:space="preserve">или на территории Российской Федерации (далее – участники боевых действий) согласно </w:t>
      </w:r>
      <w:bookmarkStart w:id="2" w:name="_Hlk199083753"/>
      <w:r>
        <w:t>пункту 6 части 5.1 статьи 71 Федерального закона № 273-ФЗ;</w:t>
      </w:r>
    </w:p>
    <w:bookmarkEnd w:id="2"/>
    <w:p w14:paraId="1612C890">
      <w:pPr>
        <w:pStyle w:val="28"/>
        <w:ind w:firstLine="709"/>
        <w:jc w:val="both"/>
      </w:pPr>
      <w:r>
        <w:t>5) дети медицинских работников, умерших в результате инфицирования новой коронавирусной инфекцией (COVID-19) при исполнении ими трудовых обязанностей (далее – дети медицинских работников), по образовательным программам медицинского и фармацевтического образования (пункт 7 части 5.1 статьи 71 Федерального закона № 273-ФЗ);</w:t>
      </w:r>
    </w:p>
    <w:p w14:paraId="69A50477">
      <w:pPr>
        <w:pStyle w:val="28"/>
        <w:ind w:firstLine="709"/>
        <w:jc w:val="both"/>
      </w:pPr>
      <w:r>
        <w:t xml:space="preserve">6) вдовы (вдовцы) участников СВО, участников боевых действий (пункты 8 и 9 части 5.1 статьи 71 Федерального закона № 273-ФЗ) – данная категория лиц включена Федеральным законом от 25 апреля 2026 г. № 107-ФЗ «О внесении изменений в статью 71 Федерального закона «Об образовании </w:t>
      </w:r>
      <w:r>
        <w:br w:type="textWrapping"/>
      </w:r>
      <w:r>
        <w:t>в Российской Федерации».</w:t>
      </w:r>
    </w:p>
    <w:p w14:paraId="7AA9465C">
      <w:pPr>
        <w:pStyle w:val="28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Необходимо обратить внимание на то, что:</w:t>
      </w:r>
    </w:p>
    <w:p w14:paraId="4AFD1E4C">
      <w:pPr>
        <w:pStyle w:val="28"/>
        <w:ind w:firstLine="709"/>
        <w:jc w:val="both"/>
      </w:pPr>
      <w:r>
        <w:t xml:space="preserve">детям участников СВО, участников боевых действий право на прием </w:t>
      </w:r>
      <w:r>
        <w:br w:type="textWrapping"/>
      </w:r>
      <w:r>
        <w:t>на места в пределах отдельной квоты предоставляется как в случае прохождения участником СВО, участником боевых действий военной службы в настоящее время, так и в случае его нахождения в запасе или гибели (смерти);</w:t>
      </w:r>
    </w:p>
    <w:p w14:paraId="6B803295">
      <w:pPr>
        <w:pStyle w:val="28"/>
        <w:ind w:firstLine="709"/>
        <w:jc w:val="both"/>
      </w:pPr>
      <w:r>
        <w:t xml:space="preserve">дети медицинских работников имеют право на прием на места </w:t>
      </w:r>
      <w:r>
        <w:br w:type="textWrapping"/>
      </w:r>
      <w:r>
        <w:t xml:space="preserve">в пределах отдельной квоты только по образовательным программам медицинского и фармацевтического образования. </w:t>
      </w:r>
    </w:p>
    <w:p w14:paraId="30216A54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>Прием на места в пределах отдельной квоты проводится:</w:t>
      </w:r>
    </w:p>
    <w:p w14:paraId="0CF8D716">
      <w:pPr>
        <w:pStyle w:val="28"/>
        <w:ind w:firstLine="709"/>
        <w:jc w:val="both"/>
      </w:pPr>
      <w:r>
        <w:t>без проведения вступительных испытаний, за исключением дополнительных вступительных испытаний творческой и (или) профессиональной направленности (далее – без проведения вступительных испытаний);</w:t>
      </w:r>
    </w:p>
    <w:p w14:paraId="41600DCE">
      <w:pPr>
        <w:pStyle w:val="28"/>
        <w:ind w:firstLine="709"/>
        <w:jc w:val="both"/>
      </w:pPr>
      <w:r>
        <w:t>по результатам ЕГЭ или вступительных испытаний, проводимых организацией самостоятельно.</w:t>
      </w:r>
    </w:p>
    <w:p w14:paraId="1CFE7520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>На места в пределах отдельной квоты принимаются без проведения вступительных испытаний:</w:t>
      </w:r>
    </w:p>
    <w:p w14:paraId="68E00591">
      <w:pPr>
        <w:pStyle w:val="28"/>
        <w:ind w:firstLine="709"/>
        <w:jc w:val="both"/>
      </w:pPr>
      <w:r>
        <w:t>Герои Российской Федерации, лица, награжденные тремя орденами Мужества;</w:t>
      </w:r>
    </w:p>
    <w:p w14:paraId="75428DAC">
      <w:pPr>
        <w:pStyle w:val="28"/>
        <w:ind w:firstLine="709"/>
        <w:jc w:val="both"/>
      </w:pPr>
      <w:r>
        <w:t xml:space="preserve">дети участников СВО, дети участников боевых действий, </w:t>
      </w:r>
      <w:r>
        <w:br w:type="textWrapping"/>
      </w:r>
      <w:r>
        <w:t xml:space="preserve">если указанные участники СВО, участники боевых действий погибли </w:t>
      </w:r>
      <w:r>
        <w:br w:type="textWrapping"/>
      </w:r>
      <w:r>
        <w:t xml:space="preserve">или получили увечье (ранение, травму, контузию) либо заболевание </w:t>
      </w:r>
      <w:r>
        <w:br w:type="textWrapping"/>
      </w:r>
      <w:r>
        <w:t xml:space="preserve">при исполнении обязанностей военной службы (служебных обязанностей) </w:t>
      </w:r>
      <w:r>
        <w:br w:type="textWrapping"/>
      </w:r>
      <w:r>
        <w:t>в ходе СВО (боевых действий) либо удостоены звания Героя Российской Федерации или награждены тремя орденами Мужества;</w:t>
      </w:r>
    </w:p>
    <w:p w14:paraId="1542054F">
      <w:pPr>
        <w:pStyle w:val="28"/>
        <w:ind w:firstLine="709"/>
        <w:jc w:val="both"/>
      </w:pPr>
      <w:r>
        <w:t>дети медицинских работников.</w:t>
      </w:r>
    </w:p>
    <w:p w14:paraId="20D26B10">
      <w:pPr>
        <w:pStyle w:val="28"/>
        <w:ind w:firstLine="709"/>
        <w:jc w:val="both"/>
      </w:pPr>
      <w:r>
        <w:t>Необходимо обратить внимание на то, что дети лиц, которые удостоены звания Героя Российской Федерации или награждены тремя орденами Мужества, принимаются на места в пределах отдельной квоты без проведения вступительных испытаний только в том случае, если один из родителей является участником СВО или участником боевых действий.</w:t>
      </w:r>
    </w:p>
    <w:p w14:paraId="4362039A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>Право на прием без проведения вступительных испытаний может быть использовано поступающим во все организации, в которые он поступает, и на все специальности и (или) направления подготовки, на которые</w:t>
      </w:r>
      <w:r>
        <w:br w:type="textWrapping"/>
      </w:r>
      <w:r>
        <w:t>он поступает. Указанное право не требует подтверждения результатами ЕГЭ.</w:t>
      </w:r>
    </w:p>
    <w:p w14:paraId="22310D07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Иные лица, имеющие право на прием на места в пределах отдельной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квоты (кроме указанных в пункте 12 настоящих Рекомендаций), принимаются </w:t>
      </w:r>
      <w:r>
        <w:t xml:space="preserve">на места в пределах отдельной квоты по результатам ЕГЭ или вступительных испытаний, проводимых организацией самостоятельно (далее – </w:t>
      </w:r>
      <w:r>
        <w:rPr>
          <w:color w:val="000000"/>
        </w:rPr>
        <w:t xml:space="preserve">внутренние </w:t>
      </w:r>
      <w:r>
        <w:t xml:space="preserve">вступительные испытания), по выбору поступающего. </w:t>
      </w:r>
    </w:p>
    <w:p w14:paraId="4ECD9677">
      <w:pPr>
        <w:pStyle w:val="28"/>
        <w:tabs>
          <w:tab w:val="left" w:pos="1134"/>
        </w:tabs>
        <w:ind w:firstLine="709"/>
        <w:jc w:val="both"/>
      </w:pPr>
      <w:r>
        <w:t xml:space="preserve">Указанные лица могут сдавать общеобразовательные вступительные испытания (вне зависимости от того, участвовал ли поступающий в сдаче ЕГЭ) и (или) вступительные испытания на базе профессионального образования (при наличии такого права в соответствии с пунктом 37 Порядка приема). </w:t>
      </w:r>
    </w:p>
    <w:p w14:paraId="401233AA">
      <w:pPr>
        <w:pStyle w:val="28"/>
        <w:ind w:firstLine="709"/>
        <w:jc w:val="both"/>
      </w:pPr>
      <w:r>
        <w:t xml:space="preserve">В качестве результата вступительного испытания засчитывается наиболее высокий из результатов ЕГЭ и (или) внутренних вступительных испытаний, которые имеются у поступающего (пункт 39 Порядка приема). </w:t>
      </w:r>
    </w:p>
    <w:p w14:paraId="1554D1D5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Право на прием на места отдельной квоты является особым правом </w:t>
      </w:r>
      <w:r>
        <w:rPr>
          <w:shd w:val="clear" w:color="auto" w:fill="FFFFFF"/>
        </w:rPr>
        <w:t xml:space="preserve">при приеме на обучение по программам бакалавриата, специалитета </w:t>
      </w:r>
      <w:r>
        <w:rPr>
          <w:shd w:val="clear" w:color="auto" w:fill="FFFFFF"/>
        </w:rPr>
        <w:br w:type="textWrapping"/>
      </w:r>
      <w:r>
        <w:rPr>
          <w:shd w:val="clear" w:color="auto" w:fill="FFFFFF"/>
        </w:rPr>
        <w:t xml:space="preserve">и в соответствии с этим </w:t>
      </w:r>
      <w:r>
        <w:t xml:space="preserve">не предоставляется соотечественникам (согласно статье 17 Федерального закона от 24 мая 1999 г. № 99-ФЗ «О государственной </w:t>
      </w:r>
      <w:r>
        <w:rPr>
          <w:spacing w:val="-4"/>
        </w:rPr>
        <w:t>политике Российской Федерации в отношении соотечественников за рубежом»).</w:t>
      </w:r>
    </w:p>
    <w:p w14:paraId="7202A062">
      <w:pPr>
        <w:pStyle w:val="28"/>
        <w:tabs>
          <w:tab w:val="left" w:pos="1134"/>
        </w:tabs>
        <w:ind w:firstLine="709"/>
        <w:jc w:val="both"/>
      </w:pPr>
    </w:p>
    <w:p w14:paraId="69CFBECB">
      <w:pPr>
        <w:pStyle w:val="28"/>
        <w:keepNext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>
        <w:rPr>
          <w:b/>
          <w:color w:val="000000"/>
        </w:rPr>
        <w:t xml:space="preserve">Зачисление </w:t>
      </w:r>
      <w:r>
        <w:rPr>
          <w:b/>
          <w:shd w:val="clear" w:color="auto" w:fill="FFFFFF"/>
        </w:rPr>
        <w:t xml:space="preserve">на места </w:t>
      </w:r>
      <w:r>
        <w:rPr>
          <w:b/>
        </w:rPr>
        <w:t>в пределах</w:t>
      </w:r>
      <w:r>
        <w:rPr>
          <w:b/>
          <w:shd w:val="clear" w:color="auto" w:fill="FFFFFF"/>
        </w:rPr>
        <w:t xml:space="preserve"> отдельной</w:t>
      </w:r>
      <w:r>
        <w:rPr>
          <w:b/>
          <w:color w:val="000000"/>
        </w:rPr>
        <w:t xml:space="preserve"> квоты </w:t>
      </w:r>
    </w:p>
    <w:p w14:paraId="61D760DD">
      <w:pPr>
        <w:pStyle w:val="28"/>
        <w:keepNext/>
        <w:tabs>
          <w:tab w:val="left" w:pos="1134"/>
        </w:tabs>
        <w:ind w:firstLine="709"/>
        <w:jc w:val="both"/>
        <w:rPr>
          <w:color w:val="C00000"/>
          <w:sz w:val="10"/>
        </w:rPr>
      </w:pPr>
    </w:p>
    <w:p w14:paraId="1EABE670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Зачисление на места </w:t>
      </w:r>
      <w:r>
        <w:rPr>
          <w:color w:val="000000"/>
        </w:rPr>
        <w:t>в пределах</w:t>
      </w:r>
      <w:r>
        <w:t xml:space="preserve"> отдельной квоты осуществляется </w:t>
      </w:r>
      <w:r>
        <w:br w:type="textWrapping"/>
      </w:r>
      <w:r>
        <w:t xml:space="preserve">на этапе приоритетного зачисления. </w:t>
      </w:r>
    </w:p>
    <w:p w14:paraId="43B41C98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>По результатам приема документов и вступительных испытаний организация формирует отдельный ранжированный список поступающих</w:t>
      </w:r>
      <w:r>
        <w:rPr>
          <w:b/>
        </w:rPr>
        <w:t xml:space="preserve"> </w:t>
      </w:r>
      <w:r>
        <w:rPr>
          <w:b/>
        </w:rPr>
        <w:br w:type="textWrapping"/>
      </w:r>
      <w:r>
        <w:rPr>
          <w:color w:val="000000"/>
        </w:rPr>
        <w:t xml:space="preserve">на места в пределах </w:t>
      </w:r>
      <w:r>
        <w:rPr>
          <w:shd w:val="clear" w:color="auto" w:fill="FFFFFF"/>
        </w:rPr>
        <w:t>отдельной</w:t>
      </w:r>
      <w:r>
        <w:rPr>
          <w:color w:val="000000"/>
        </w:rPr>
        <w:t xml:space="preserve"> квоты (далее – </w:t>
      </w:r>
      <w:r>
        <w:t>конкурсный список</w:t>
      </w:r>
      <w:r>
        <w:rPr>
          <w:color w:val="000000"/>
        </w:rPr>
        <w:t>).</w:t>
      </w:r>
    </w:p>
    <w:p w14:paraId="6FB9DF1D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>В конкурсный список включаются:</w:t>
      </w:r>
    </w:p>
    <w:p w14:paraId="48B14AF4">
      <w:pPr>
        <w:pStyle w:val="28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поступающие без проведения вступительных испытаний </w:t>
      </w:r>
      <w:r>
        <w:rPr>
          <w:color w:val="000000"/>
        </w:rPr>
        <w:br w:type="textWrapping"/>
      </w:r>
      <w:r>
        <w:rPr>
          <w:color w:val="000000"/>
        </w:rPr>
        <w:t xml:space="preserve">(за исключением дополнительных вступительных испытаний творческой </w:t>
      </w:r>
      <w:r>
        <w:rPr>
          <w:color w:val="000000"/>
        </w:rPr>
        <w:br w:type="textWrapping"/>
      </w:r>
      <w:r>
        <w:rPr>
          <w:color w:val="000000"/>
        </w:rPr>
        <w:t xml:space="preserve">и (или) профессиональной направленности). В случае проведения дополнительных вступительных испытаний творческой и (или) профессиональной направленности в конкурсный список включаются лица, которые имеют не менее минимального количества баллов за указанные вступительные испытания; </w:t>
      </w:r>
    </w:p>
    <w:p w14:paraId="54955060">
      <w:pPr>
        <w:pStyle w:val="28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поступающие по результатам ЕГЭ и (или) внутренних вступительных испытаний, которые имеют не менее минимального количества баллов ЕГЭ </w:t>
      </w:r>
      <w:r>
        <w:rPr>
          <w:color w:val="000000"/>
        </w:rPr>
        <w:br w:type="textWrapping"/>
      </w:r>
      <w:r>
        <w:rPr>
          <w:color w:val="000000"/>
        </w:rPr>
        <w:t xml:space="preserve">и (или) не менее минимального количества баллов за внутренние вступительные испытания. </w:t>
      </w:r>
    </w:p>
    <w:p w14:paraId="7F3955A1">
      <w:pPr>
        <w:pStyle w:val="28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 конкурсном списке поступающие по результатам ЕГЭ </w:t>
      </w:r>
      <w:r>
        <w:rPr>
          <w:color w:val="000000"/>
        </w:rPr>
        <w:br w:type="textWrapping"/>
      </w:r>
      <w:r>
        <w:rPr>
          <w:color w:val="000000"/>
        </w:rPr>
        <w:t xml:space="preserve">и (или) внутренних вступительных испытаний размещаются после поступающих без проведения вступительных испытаний (за исключением дополнительных вступительных испытаний творческой и (или) профессиональной направленности). </w:t>
      </w:r>
    </w:p>
    <w:p w14:paraId="5596EAC3">
      <w:pPr>
        <w:pStyle w:val="28"/>
        <w:tabs>
          <w:tab w:val="left" w:pos="1134"/>
        </w:tabs>
        <w:ind w:firstLine="709"/>
        <w:jc w:val="both"/>
        <w:rPr>
          <w:color w:val="000000"/>
        </w:rPr>
      </w:pPr>
    </w:p>
    <w:p w14:paraId="19B91CA0">
      <w:pPr>
        <w:pStyle w:val="28"/>
        <w:keepNext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</w:rPr>
      </w:pPr>
      <w:r>
        <w:rPr>
          <w:b/>
        </w:rPr>
        <w:t xml:space="preserve">Право на сдачу внутренних вступительных испытаний </w:t>
      </w:r>
    </w:p>
    <w:p w14:paraId="6D8BDB2C">
      <w:pPr>
        <w:pStyle w:val="28"/>
        <w:keepNext/>
        <w:tabs>
          <w:tab w:val="left" w:pos="1276"/>
        </w:tabs>
        <w:jc w:val="both"/>
        <w:rPr>
          <w:sz w:val="10"/>
        </w:rPr>
      </w:pPr>
    </w:p>
    <w:p w14:paraId="296417E7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Лица, имеющие право на прием </w:t>
      </w:r>
      <w:r>
        <w:rPr>
          <w:shd w:val="clear" w:color="auto" w:fill="FFFFFF"/>
        </w:rPr>
        <w:t>на места в пределах отдельной квоты (</w:t>
      </w:r>
      <w:r>
        <w:t xml:space="preserve">указанные в части 5.1 статьи 71 Федерального закона № 273-ФЗ), в том числе поступающие на базе профессионального образования, имеют право сдавать внутренние общеобразовательные вступительные испытания на все иные места, то есть на места в пределах особой квоты, на места в пределах целевой квоты, на основные бюджетные места, на платные места (абзац третий подпункта 2 пункта 37 Порядка приема). </w:t>
      </w:r>
    </w:p>
    <w:p w14:paraId="7FF5C890">
      <w:pPr>
        <w:pStyle w:val="28"/>
        <w:tabs>
          <w:tab w:val="left" w:pos="1134"/>
        </w:tabs>
        <w:ind w:firstLine="709"/>
        <w:jc w:val="both"/>
      </w:pPr>
      <w:r>
        <w:t xml:space="preserve">Право сдавать внутренние общеобразовательные вступительные испытания предоставляется вне зависимости от того, поступают ли эти лица на места в пределах отдельной квоты и участвовали ли они в сдаче ЕГЭ, </w:t>
      </w:r>
      <w:r>
        <w:br w:type="textWrapping"/>
      </w:r>
      <w:r>
        <w:t>и от результата сдачи ЕГЭ.</w:t>
      </w:r>
    </w:p>
    <w:p w14:paraId="131C3FBD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Таким образом, если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поступающий</w:t>
      </w:r>
      <w:r>
        <w:t xml:space="preserve"> из числа лиц, указанных в части 5.1 статьи 71 Федерального закона № 273-ФЗ, поступает:</w:t>
      </w:r>
    </w:p>
    <w:p w14:paraId="3DC60037">
      <w:pPr>
        <w:pStyle w:val="28"/>
        <w:tabs>
          <w:tab w:val="left" w:pos="1276"/>
        </w:tabs>
        <w:ind w:firstLine="709"/>
        <w:jc w:val="both"/>
      </w:pPr>
      <w:r>
        <w:t xml:space="preserve">на места в пределах отдельной квоты в соответствии с частью 5.2 статьи 71 Федерального закона № 273-ФЗ, он имеет право на поступление </w:t>
      </w:r>
      <w:r>
        <w:br w:type="textWrapping"/>
      </w:r>
      <w:r>
        <w:t>без проведения вступительных испытаний (за исключением дополнительных вступительных испытаний творческой и (или) профессиональной направленности) или по результатам ЕГЭ или вступительных испытаний, проводимых организацией самостоятельно;</w:t>
      </w:r>
    </w:p>
    <w:p w14:paraId="70030D8D">
      <w:pPr>
        <w:pStyle w:val="28"/>
        <w:tabs>
          <w:tab w:val="left" w:pos="1276"/>
        </w:tabs>
        <w:ind w:firstLine="709"/>
        <w:jc w:val="both"/>
      </w:pPr>
      <w:r>
        <w:t xml:space="preserve">на все иные места, такой поступающий имеет право сдавать внутренние общеобразовательные вступительные испытания. </w:t>
      </w:r>
    </w:p>
    <w:p w14:paraId="402BD6AE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Детям медицинских работников, указанным в части 5.1 статьи 71 Федерального закона № 273-ФЗ, предоставляется право сдавать внутренние общеобразовательные вступительные испытания при приеме на обучение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по всем </w:t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программам бакалавриата, специалитета (не только </w:t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по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образовательным программам медицинского и фармацевтического образования).</w:t>
      </w:r>
    </w:p>
    <w:p w14:paraId="6CD79FCF">
      <w:pPr>
        <w:pStyle w:val="28"/>
        <w:tabs>
          <w:tab w:val="left" w:pos="1276"/>
        </w:tabs>
        <w:jc w:val="both"/>
      </w:pPr>
    </w:p>
    <w:p w14:paraId="271AB6CC">
      <w:pPr>
        <w:pStyle w:val="28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 xml:space="preserve">Документы, подтверждающие право </w:t>
      </w:r>
    </w:p>
    <w:p w14:paraId="46E3677B">
      <w:pPr>
        <w:pStyle w:val="28"/>
        <w:tabs>
          <w:tab w:val="left" w:pos="426"/>
        </w:tabs>
        <w:jc w:val="center"/>
        <w:rPr>
          <w:b/>
          <w:bCs/>
          <w:color w:val="000000"/>
        </w:rPr>
      </w:pPr>
      <w:r>
        <w:rPr>
          <w:b/>
          <w:bCs/>
        </w:rPr>
        <w:t xml:space="preserve">на прием на места в </w:t>
      </w:r>
      <w:r>
        <w:rPr>
          <w:b/>
          <w:bCs/>
          <w:color w:val="000000"/>
        </w:rPr>
        <w:t xml:space="preserve">пределах </w:t>
      </w:r>
      <w:r>
        <w:rPr>
          <w:b/>
          <w:bCs/>
          <w:shd w:val="clear" w:color="auto" w:fill="FFFFFF"/>
        </w:rPr>
        <w:t>отдельной</w:t>
      </w:r>
      <w:r>
        <w:rPr>
          <w:b/>
          <w:bCs/>
          <w:color w:val="000000"/>
        </w:rPr>
        <w:t xml:space="preserve"> квоты</w:t>
      </w:r>
    </w:p>
    <w:p w14:paraId="1D05BC71">
      <w:pPr>
        <w:pStyle w:val="28"/>
        <w:tabs>
          <w:tab w:val="left" w:pos="1276"/>
        </w:tabs>
        <w:jc w:val="both"/>
        <w:rPr>
          <w:sz w:val="10"/>
        </w:rPr>
      </w:pPr>
    </w:p>
    <w:p w14:paraId="001AFDF7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/>
        </w:rPr>
      </w:pPr>
      <w:r>
        <w:rPr>
          <w:b/>
          <w:bCs/>
        </w:rPr>
        <w:t xml:space="preserve">Герои Российской Федерации, лица, награжденные тремя орденами Мужества </w:t>
      </w:r>
    </w:p>
    <w:p w14:paraId="268DA813">
      <w:pPr>
        <w:pStyle w:val="28"/>
        <w:tabs>
          <w:tab w:val="left" w:pos="1276"/>
        </w:tabs>
        <w:ind w:firstLine="709"/>
        <w:jc w:val="both"/>
      </w:pPr>
      <w:r>
        <w:t>Статус Героя Российской Федерации, лица, награжденного тремя орденами Мужества, подтверждается соответствующими удостоверениями (далее – удостоверения о награждении).</w:t>
      </w:r>
    </w:p>
    <w:p w14:paraId="2375B55A">
      <w:pPr>
        <w:pStyle w:val="28"/>
        <w:keepNext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/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Участники </w:t>
      </w:r>
      <w:r>
        <w:rPr>
          <w:b/>
        </w:rPr>
        <w:t>СВО</w:t>
      </w:r>
    </w:p>
    <w:p w14:paraId="75BAF464">
      <w:pPr>
        <w:pStyle w:val="28"/>
        <w:tabs>
          <w:tab w:val="left" w:pos="1276"/>
        </w:tabs>
        <w:ind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Статус участника </w:t>
      </w:r>
      <w:r>
        <w:rPr>
          <w:bCs/>
        </w:rPr>
        <w:t>СВО подтверждается одним из следующих документов:</w:t>
      </w:r>
    </w:p>
    <w:p w14:paraId="203E9119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</w:rPr>
        <w:t>военный билет (при наличии в нем соответствующей записи);</w:t>
      </w:r>
    </w:p>
    <w:p w14:paraId="1B512DCC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</w:rPr>
        <w:t>удостоверение ветерана боевых действий;</w:t>
      </w:r>
    </w:p>
    <w:p w14:paraId="1456AA0D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справка, выданная в соответствии с постановлением Правительства Российской Федерации от 9 октября 2024 г.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 (далее соответственно – справка № 1354, постановление № 1354), или сведения, предоставляемые в соответствии с постановлением № 1354 (далее – сведения № 1354), – указанные справка или сведения могут быть получены посредством Единого портала государственных и муниципальных услуг (функций);</w:t>
      </w:r>
    </w:p>
    <w:p w14:paraId="5BC67E60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иная справка, выданная военкоматом (воинской частью)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или соответствующим федеральным органом исполнительной власти (федеральным государственным органом), направившим гражданина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участия в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(далее – справка об участии в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);</w:t>
      </w:r>
    </w:p>
    <w:p w14:paraId="68EB17EB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иной документ аналогичного содержания. </w:t>
      </w:r>
    </w:p>
    <w:p w14:paraId="1E01738E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/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Дети участников </w:t>
      </w:r>
      <w:r>
        <w:rPr>
          <w:b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8BAD89E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приема детей участников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на места в пределах отдельной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квоты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необходимо представление документа, </w:t>
      </w:r>
      <w:r>
        <w:rPr>
          <w:bCs/>
        </w:rPr>
        <w:t xml:space="preserve">подтверждающего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статус участника </w:t>
      </w:r>
      <w:r>
        <w:rPr>
          <w:bCs/>
        </w:rPr>
        <w:t>СВО (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пункт 23 </w:t>
      </w:r>
      <w:r>
        <w:t xml:space="preserve">настоящих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Рекомендаций</w:t>
      </w:r>
      <w:r>
        <w:rPr>
          <w:bCs/>
        </w:rPr>
        <w:t>).</w:t>
      </w:r>
    </w:p>
    <w:p w14:paraId="7314EA8E">
      <w:pPr>
        <w:pStyle w:val="28"/>
        <w:tabs>
          <w:tab w:val="left" w:pos="1276"/>
        </w:tabs>
        <w:ind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приема детей участников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на места в пределах отдельной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квоты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без проведения </w:t>
      </w:r>
      <w:r>
        <w:rPr>
          <w:b/>
          <w:iCs/>
        </w:rPr>
        <w:t>вступительных испытаний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необходимо подтверждение того, что родитель поступающего погиб или получил увечье (ранение, травму, контузию) либо заболевание при исполнении обязанностей военной службы (служебных обязанностей) либо </w:t>
      </w:r>
      <w:r>
        <w:rPr>
          <w:bCs/>
        </w:rPr>
        <w:t xml:space="preserve">удостоен звания Героя </w:t>
      </w:r>
      <w:bookmarkStart w:id="3" w:name="_GoBack"/>
      <w:bookmarkEnd w:id="3"/>
      <w:r>
        <w:rPr>
          <w:bCs/>
        </w:rPr>
        <w:t>Российской Федерации или награжден тремя орденами Мужества.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04773C88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Если родитель поступающего – участник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погиб или получил увечье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(ранение, травму, контузию) либо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заболевание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при исполнении обязанностей военной службы (служебных обязанностей), данный факт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не может быть подтвержден справкой № 1354 (сведениями № 1354), </w:t>
      </w:r>
      <w:r>
        <w:t xml:space="preserve">удостоверением ветерана боевых действий и т.д. В этом случае для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приема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на места в пределах отдельной квоты без проведения </w:t>
      </w:r>
      <w:r>
        <w:rPr>
          <w:bCs/>
          <w:iCs/>
        </w:rPr>
        <w:t>вступительных испытаний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необходима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справка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об участии в </w:t>
      </w:r>
      <w:r>
        <w:rPr>
          <w:bCs/>
        </w:rPr>
        <w:t xml:space="preserve">СВО, которая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подтверждает право ребенка участника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на прием на места в пределах отдельной квоты без проведения </w:t>
      </w:r>
      <w:r>
        <w:rPr>
          <w:bCs/>
          <w:iCs/>
        </w:rPr>
        <w:t>вступительных испытаний,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либо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справка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, которая подтверждает факт гибели участника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или получения им увечья (ранения, травмы, контузии) либо заболевания при исполнении обязанностей военной службы (служебных обязанностей). </w:t>
      </w:r>
    </w:p>
    <w:p w14:paraId="6D59D318">
      <w:pPr>
        <w:pStyle w:val="28"/>
        <w:tabs>
          <w:tab w:val="left" w:pos="1276"/>
        </w:tabs>
        <w:ind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Если родитель поступающего – участник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</w:rPr>
        <w:t>удостоен звания Героя Российской Федерации или награжден тремя орденами Мужества</w:t>
      </w:r>
      <w:r>
        <w:t xml:space="preserve">, это подтверждается удостоверением (удостоверениями) о награждении (пункт 22 настоящих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Рекомендаций</w:t>
      </w:r>
      <w:r>
        <w:t>).</w:t>
      </w:r>
    </w:p>
    <w:p w14:paraId="2A042792">
      <w:pPr>
        <w:pStyle w:val="28"/>
        <w:tabs>
          <w:tab w:val="left" w:pos="1276"/>
        </w:tabs>
        <w:ind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Если документ (документы), указанный в настоящем пункте, выдан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на имя родителя поступающего, то поступающий должен представить документ, подтверждающий, что он является ребенком участника СВО (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свидетельство о рождении).</w:t>
      </w:r>
    </w:p>
    <w:p w14:paraId="7C6EDC95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/>
          <w:color w:val="C00000"/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Дети участников боевых действий</w:t>
      </w:r>
      <w:r>
        <w:rPr>
          <w:b/>
        </w:rPr>
        <w:t xml:space="preserve"> в других государствах </w:t>
      </w:r>
      <w:r>
        <w:rPr>
          <w:b/>
        </w:rPr>
        <w:br w:type="textWrapping"/>
      </w:r>
      <w:r>
        <w:rPr>
          <w:b/>
        </w:rPr>
        <w:t xml:space="preserve">или на территории Российской Федерации </w:t>
      </w:r>
    </w:p>
    <w:p w14:paraId="44114A72">
      <w:pPr>
        <w:pStyle w:val="28"/>
        <w:tabs>
          <w:tab w:val="left" w:pos="1276"/>
        </w:tabs>
        <w:ind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Необходимо иметь в виду, что справка № 1354 выдается только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в отношении участников СВО и не выдается в отношении участников боевых действий. Поэтому при приеме детей участников боевых действий на места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 пределах отдельной квоты статус участников боевых действий</w:t>
      </w:r>
      <w:r>
        <w:t xml:space="preserve"> </w:t>
      </w:r>
      <w:r>
        <w:rPr>
          <w:bCs/>
        </w:rPr>
        <w:t>подтверждается одним из следующих документов:</w:t>
      </w:r>
    </w:p>
    <w:p w14:paraId="6661DD3D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</w:rPr>
        <w:t>военный билет (при наличии в нем соответствующей записи);</w:t>
      </w:r>
    </w:p>
    <w:p w14:paraId="53716798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</w:rPr>
        <w:t>удостоверение ветерана боевых действий;</w:t>
      </w:r>
    </w:p>
    <w:p w14:paraId="40A0046A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справка, выданная военкоматом (воинской частью)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или соответствующим федеральным органом исполнительной власти (федеральным государственным органом), направившим гражданина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участия в </w:t>
      </w:r>
      <w:r>
        <w:rPr>
          <w:bCs/>
        </w:rPr>
        <w:t>боевых действиях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(далее – справка об участии в </w:t>
      </w:r>
      <w:r>
        <w:rPr>
          <w:bCs/>
        </w:rPr>
        <w:t>боевых действиях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); </w:t>
      </w:r>
    </w:p>
    <w:p w14:paraId="55D63A50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иной документ аналогичного содержания. </w:t>
      </w:r>
    </w:p>
    <w:p w14:paraId="1687E6CE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приема детей участников боевых действий на места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 пределах отдельной квоты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без проведения </w:t>
      </w:r>
      <w:r>
        <w:rPr>
          <w:b/>
          <w:iCs/>
        </w:rPr>
        <w:t>вступительных испытаний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необходимо также подтверждение, что родитель поступающего погиб или получил увечье (ранение, травму, контузию) либо заболевание при исполнении обязанностей военной службы (служебных обязанностей) либо </w:t>
      </w:r>
      <w:r>
        <w:rPr>
          <w:bCs/>
        </w:rPr>
        <w:t>удостоен звания Героя Российской Федерации или награжден тремя орденами Мужества.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76AE3B35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Если родитель поступающего – участник боевых действий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погиб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или получил увечье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(ранение, травму, контузию) либо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заболевание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при исполнении обязанностей военной службы (служебных обязанностей),  необходима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справка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об участии в боевых действиях</w:t>
      </w:r>
      <w:r>
        <w:rPr>
          <w:bCs/>
        </w:rPr>
        <w:t xml:space="preserve">, которая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подтверждает право ребенка участника боевых действий</w:t>
      </w:r>
      <w:r>
        <w:rPr>
          <w:bCs/>
        </w:rPr>
        <w:t xml:space="preserve">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на прием на места в пределах отдельной квоты без проведения </w:t>
      </w:r>
      <w:r>
        <w:rPr>
          <w:bCs/>
          <w:iCs/>
        </w:rPr>
        <w:t>вступительных испытаний,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либо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справка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, которая подтверждает факт гибели участника боевых действий</w:t>
      </w:r>
      <w:r>
        <w:rPr>
          <w:bCs/>
        </w:rPr>
        <w:t xml:space="preserve">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или получения им увечья (ранения, травмы, контузии) либо заболевания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при исполнении обязанностей военной службы (служебных обязанностей). </w:t>
      </w:r>
    </w:p>
    <w:p w14:paraId="1522604F">
      <w:pPr>
        <w:pStyle w:val="28"/>
        <w:tabs>
          <w:tab w:val="left" w:pos="1276"/>
        </w:tabs>
        <w:ind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Если родитель поступающего – участник боевых действий </w:t>
      </w:r>
      <w:r>
        <w:rPr>
          <w:b/>
          <w:bCs/>
        </w:rPr>
        <w:t>удостоен звания Героя Российской Федерации или награжден тремя орденами Мужества</w:t>
      </w:r>
      <w:r>
        <w:t xml:space="preserve">, это подтверждается удостоверением (удостоверениями) </w:t>
      </w:r>
      <w:r>
        <w:br w:type="textWrapping"/>
      </w:r>
      <w:r>
        <w:t xml:space="preserve">о награждении (пункт 22 настоящих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Рекомендаций</w:t>
      </w:r>
      <w:r>
        <w:t>).</w:t>
      </w:r>
    </w:p>
    <w:p w14:paraId="62D57A82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Если документ (документы), указанный в настоящем пункте, выдан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на имя родителя поступающего, поступающий должен представить документ, подтверждающий, что он является ребенком участника боевых действий (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свидетельство о рождении).</w:t>
      </w:r>
    </w:p>
    <w:p w14:paraId="32C9B5D4">
      <w:pPr>
        <w:pStyle w:val="28"/>
        <w:keepNext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/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Вдовы (вдовцы) участников </w:t>
      </w:r>
      <w:r>
        <w:rPr>
          <w:b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участников боевых действий</w:t>
      </w:r>
      <w:r>
        <w:rPr>
          <w:bCs/>
        </w:rPr>
        <w:t xml:space="preserve"> </w:t>
      </w:r>
    </w:p>
    <w:p w14:paraId="7F514F5E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приема вдов (вдовцов) участников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, вдов (вдовцов) участников боевых действий</w:t>
      </w:r>
      <w:r>
        <w:rPr>
          <w:bCs/>
        </w:rPr>
        <w:t xml:space="preserve">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на места в пределах отдельной квоты необходимо представление </w:t>
      </w:r>
      <w:r>
        <w:rPr>
          <w:bCs/>
        </w:rPr>
        <w:t>следующих документов:</w:t>
      </w:r>
    </w:p>
    <w:p w14:paraId="6D5EC2AE">
      <w:pPr>
        <w:pStyle w:val="28"/>
        <w:tabs>
          <w:tab w:val="left" w:pos="1276"/>
        </w:tabs>
        <w:ind w:firstLine="709"/>
        <w:jc w:val="both"/>
        <w:rPr>
          <w:bCs/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документ, </w:t>
      </w:r>
      <w:r>
        <w:rPr>
          <w:bCs/>
        </w:rPr>
        <w:t xml:space="preserve">подтверждающий, что супруг (супруга) поступающего является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участником </w:t>
      </w:r>
      <w:r>
        <w:rPr>
          <w:bCs/>
        </w:rPr>
        <w:t xml:space="preserve">СВО или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участником боевых действий (см. пункты 23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и 25 </w:t>
      </w:r>
      <w:r>
        <w:t xml:space="preserve">настоящих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Рекомендаций)</w:t>
      </w:r>
      <w:r>
        <w:rPr>
          <w:bCs/>
        </w:rPr>
        <w:t>;</w:t>
      </w:r>
    </w:p>
    <w:p w14:paraId="675F7F06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документ, подтверждающий, что </w:t>
      </w:r>
      <w:r>
        <w:rPr>
          <w:bCs/>
        </w:rPr>
        <w:t xml:space="preserve">супруг (супруга) поступающего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погиб при исполнении обязанностей военной службы (служебных обязанностей), обязанностей по контракту о добровольном содействии в ходе СВО (боевых действий) или умер вследствие увечья (ранения, травмы, контузии)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либо заболевания, полученных при исполнении обязанностей военной службы (служебных обязанностей), обязанностей по контракту о добровольном содействии в ходе СВО (боевых действий);</w:t>
      </w:r>
    </w:p>
    <w:p w14:paraId="55990616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документ, подтверждающий, что поступающий являлся супругой (супругом) участника СВО или участника боевых действий на момент его гибели или смерти (справка, выданная отделом ЗАГС);</w:t>
      </w:r>
    </w:p>
    <w:p w14:paraId="6A8B4BF6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документ, подтверждающий, что поступающий не вступил в новый брак после гибели (смерти) участника </w:t>
      </w:r>
      <w:r>
        <w:rPr>
          <w:bCs/>
        </w:rPr>
        <w:t>СВО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</w:rPr>
        <w:t xml:space="preserve">или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участника боевых действий (справка, выданная отделом ЗАГС).</w:t>
      </w:r>
    </w:p>
    <w:p w14:paraId="7CEE11A0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Примерная форма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справки об участии в </w:t>
      </w:r>
      <w:r>
        <w:t xml:space="preserve">СВО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(справки об участии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в </w:t>
      </w:r>
      <w:r>
        <w:rPr>
          <w:bCs/>
        </w:rPr>
        <w:t>боевых действиях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приведена в приложении к </w:t>
      </w:r>
      <w:r>
        <w:t xml:space="preserve">настоящим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Рекомендациям. </w:t>
      </w:r>
    </w:p>
    <w:p w14:paraId="54273197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Для подтверждения права на прием на места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 пределах отдельной квоты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принимается также справка по формам, рекомендованным Минобрнауки России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в 2022–2025 годах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 w14:paraId="7EA66177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Дети медицинских работников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4FF61CD9">
      <w:pPr>
        <w:pStyle w:val="28"/>
        <w:tabs>
          <w:tab w:val="left" w:pos="1276"/>
        </w:tabs>
        <w:ind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>Для приема ребенка медицинского работника на места в пределах отдельной квоты необходимо представление следующих документов:</w:t>
      </w:r>
    </w:p>
    <w:p w14:paraId="2FBD8C2C">
      <w:pPr>
        <w:pStyle w:val="28"/>
        <w:tabs>
          <w:tab w:val="left" w:pos="1276"/>
        </w:tabs>
        <w:ind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акт о случае профессионального заболевания родителя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поступающего (форма указанного акта приведена в приложении к Правилам расследования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 учета случаев профессиональных заболеваний работников, утвержденным постановлением Правительства Российской Федерации от 5 июля 2022 г. № 1206);</w:t>
      </w:r>
    </w:p>
    <w:p w14:paraId="15B73793">
      <w:pPr>
        <w:pStyle w:val="28"/>
        <w:tabs>
          <w:tab w:val="left" w:pos="1276"/>
        </w:tabs>
        <w:ind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свидетельство о смерти родителя поступающего;</w:t>
      </w:r>
    </w:p>
    <w:p w14:paraId="30DBAFBC">
      <w:pPr>
        <w:pStyle w:val="28"/>
        <w:tabs>
          <w:tab w:val="left" w:pos="1276"/>
        </w:tabs>
        <w:ind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документ, подтверждающий, что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поступающий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является ребенком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медицинского работника (свидетельство о рождении).</w:t>
      </w:r>
    </w:p>
    <w:p w14:paraId="76F19503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</w:rPr>
        <w:t>При лишении родителя родительских прав</w:t>
      </w:r>
      <w:r>
        <w:t xml:space="preserve"> ребенок не теряет права, связанные с родством. Поэтому, в случае если родитель, являющийся участником СВО, участником боевых действий, медицинским работником, умершим в результате инфицирования COVID-19, лишен родительских прав, ребенок имеет право на прием на места в рамках отдельной квоты.</w:t>
      </w:r>
    </w:p>
    <w:p w14:paraId="2CEE8C80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Если поступающий не представил указанную выше справку (справки), однако представил иную справку, подтверждающую его отнесение к лицам, имеющим право на прием на места в пределах отдельной квоты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решение о приеме поступающего на места в пределах отдельной квоты принимается организацией самостоятельно при условии, что представленные поступающим документы позволяют однозначно подтвердить факт его отнесения к лицам,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указанным в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части 5.1 статьи 71 Федерального закона № 273-ФЗ.</w:t>
      </w:r>
    </w:p>
    <w:p w14:paraId="5690E071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Справка № 1354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представляется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поступающим посредством ЕПГУ или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иными способами непосредственно в организацию.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Иные справки, подтверждающие отнесение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поступающего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к лицам, указанным в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части 5.1 статьи 71 Федерального закона № 273-ФЗ, представляются иными способами непосредственно в организацию.</w:t>
      </w:r>
    </w:p>
    <w:p w14:paraId="0EFF3601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При приеме документов, подтверждающих право на прием на места в </w:t>
      </w:r>
      <w:r>
        <w:rPr>
          <w:color w:val="000000"/>
        </w:rPr>
        <w:t xml:space="preserve">пределах </w:t>
      </w:r>
      <w:r>
        <w:rPr>
          <w:shd w:val="clear" w:color="auto" w:fill="FFFFFF"/>
        </w:rPr>
        <w:t>отдельной</w:t>
      </w:r>
      <w:r>
        <w:rPr>
          <w:color w:val="000000"/>
        </w:rPr>
        <w:t xml:space="preserve"> квоты, </w:t>
      </w:r>
      <w:r>
        <w:t xml:space="preserve">нужно иметь в виду, что поступающий имеет право после подачи заявления о приеме на обучение внести в него изменения и (или) </w:t>
      </w:r>
      <w:r>
        <w:rPr>
          <w:b/>
        </w:rPr>
        <w:t>представить документы, прилагаемые к заявлению о приеме</w:t>
      </w:r>
      <w:r>
        <w:t xml:space="preserve">. Эти действия осуществляются не позднее дня завершения приема документов </w:t>
      </w:r>
      <w:r>
        <w:br w:type="textWrapping"/>
      </w:r>
      <w:r>
        <w:t xml:space="preserve">без сдачи вступительных испытаний (пункт 76 Порядка приема), то есть </w:t>
      </w:r>
      <w:r>
        <w:br w:type="textWrapping"/>
      </w:r>
      <w:r>
        <w:rPr>
          <w:b/>
        </w:rPr>
        <w:t xml:space="preserve">при основном приеме на обучение – до 25 июля включительно, </w:t>
      </w:r>
      <w:r>
        <w:rPr>
          <w:b/>
        </w:rPr>
        <w:br w:type="textWrapping"/>
      </w:r>
      <w:r>
        <w:rPr>
          <w:b/>
        </w:rPr>
        <w:t>при дополнительном приеме на обучение – до 21 августа включительно</w:t>
      </w:r>
      <w:r>
        <w:t>.</w:t>
      </w:r>
    </w:p>
    <w:p w14:paraId="6FC78DDE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В </w:t>
      </w:r>
      <w:r>
        <w:rPr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федеральных органах исполнительной власти (федеральных государственных органах) </w:t>
      </w:r>
      <w:r>
        <w:rPr>
          <w:bCs/>
        </w:rPr>
        <w:t xml:space="preserve">установлены ответственные за выдачу справок, указанных в </w:t>
      </w:r>
      <w:r>
        <w:t xml:space="preserve">настоящих </w:t>
      </w:r>
      <w:r>
        <w:rPr>
          <w:bCs/>
        </w:rPr>
        <w:t xml:space="preserve">Рекомендациях (справки № 1354, </w:t>
      </w:r>
      <w:r>
        <w:t xml:space="preserve">справки </w:t>
      </w:r>
      <w:r>
        <w:rPr>
          <w:bCs/>
        </w:rPr>
        <w:t>об участии в СВО, справки об участии в боевых действиях)</w:t>
      </w:r>
      <w:r>
        <w:t>:</w:t>
      </w:r>
    </w:p>
    <w:p w14:paraId="559A5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обороны Российской Федерации – </w:t>
      </w:r>
      <w:r>
        <w:rPr>
          <w:rStyle w:val="49"/>
          <w:color w:val="auto"/>
          <w:sz w:val="28"/>
          <w:szCs w:val="28"/>
        </w:rPr>
        <w:t xml:space="preserve">органы военного управления, </w:t>
      </w:r>
      <w:r>
        <w:rPr>
          <w:rFonts w:ascii="Times New Roman" w:hAnsi="Times New Roman"/>
          <w:sz w:val="28"/>
          <w:szCs w:val="28"/>
        </w:rPr>
        <w:t>воинские части</w:t>
      </w:r>
      <w:r>
        <w:rPr>
          <w:rStyle w:val="49"/>
          <w:color w:val="auto"/>
          <w:sz w:val="28"/>
          <w:szCs w:val="28"/>
        </w:rPr>
        <w:t>, в которых военнослужащие проходят военную службу, военные комиссариаты (по месту воинского учета, месту жительства, месту пребывания или месту проживания семей граждан)</w:t>
      </w:r>
      <w:r>
        <w:rPr>
          <w:rFonts w:ascii="Times New Roman" w:hAnsi="Times New Roman"/>
          <w:sz w:val="28"/>
          <w:szCs w:val="28"/>
        </w:rPr>
        <w:t>;</w:t>
      </w:r>
    </w:p>
    <w:p w14:paraId="1E31F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внутренних дел Российской Федерации (МВД России) – кадровые подразделения органов, организаций, подразделений МВД России;</w:t>
      </w:r>
    </w:p>
    <w:p w14:paraId="7E8BA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Следственный комитет Российской Федерации – управление кадров Следственного комитета Российской Федерации, следственные органы;</w:t>
      </w:r>
    </w:p>
    <w:p w14:paraId="4E7BFC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военная прокуратура – управление кадров Главной военной прокуратуры и кадровые подразделения военных прокуратур военных округов, флотов, Ракетных войск стратегического назначения, Московской городской военной прокуратуры и других военных прокуратур, приравненных к прокуратурам субъектов Российской Федерации;</w:t>
      </w:r>
    </w:p>
    <w:p w14:paraId="059AA1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служба войск национальной гвардии Российской Федерации – воинские части (организации) войск национальной гвардии Российской Федерации;</w:t>
      </w:r>
    </w:p>
    <w:p w14:paraId="1836F9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служба безопасности Российской Федерации (ФСБ России) – уполномоченные органы ФСБ России;</w:t>
      </w:r>
    </w:p>
    <w:p w14:paraId="100F5C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служба охраны Российской Федерации – управление кадров Федеральной службы охраны Российской Федерации, управление кадров Службы специальной связи и информации Федеральной службы охраны Российской Федерации;</w:t>
      </w:r>
    </w:p>
    <w:p w14:paraId="3855C3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Служба внешней разведки Российской Федерации – Управление кадров Службы внешней разведки Российской Федерации;</w:t>
      </w:r>
    </w:p>
    <w:p w14:paraId="4D362B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служба исполнения наказаний (ФСИН России) – Управление по работе с личным составом ФСИН России, подразделения кадров и работы с личным составом территориальных органов ФСИН России, учреждений, подчиненных ФСИН России;</w:t>
      </w:r>
    </w:p>
    <w:p w14:paraId="323B01BC">
      <w:pPr>
        <w:pStyle w:val="28"/>
        <w:tabs>
          <w:tab w:val="left" w:pos="1134"/>
        </w:tabs>
        <w:ind w:firstLine="709"/>
        <w:contextualSpacing/>
        <w:jc w:val="both"/>
      </w:pPr>
      <w:r>
        <w:t>Главное управление специальных программ Президента Российской Федерации – управление кадров Главного управления специальных программ Президента Российской Федерации, войсковые части;</w:t>
      </w:r>
    </w:p>
    <w:p w14:paraId="1CBE4DDC">
      <w:pPr>
        <w:pStyle w:val="28"/>
        <w:tabs>
          <w:tab w:val="left" w:pos="1134"/>
        </w:tabs>
        <w:ind w:firstLine="709"/>
        <w:contextualSpacing/>
        <w:jc w:val="both"/>
      </w:pPr>
      <w: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(МЧС России) – Департамент кадровой политики центрального аппарата МЧС России, территориальные органы (главные управления) МЧС России </w:t>
      </w:r>
      <w:r>
        <w:br w:type="textWrapping"/>
      </w:r>
      <w:r>
        <w:t>по субъектам Российской Федерации, организации, находящиеся в ведении МЧС России.</w:t>
      </w:r>
    </w:p>
    <w:p w14:paraId="46D31AA3">
      <w:pPr>
        <w:pStyle w:val="28"/>
        <w:tabs>
          <w:tab w:val="left" w:pos="1134"/>
        </w:tabs>
        <w:ind w:firstLine="709"/>
        <w:contextualSpacing/>
        <w:jc w:val="both"/>
      </w:pPr>
    </w:p>
    <w:p w14:paraId="4BBDAC1D">
      <w:pPr>
        <w:pStyle w:val="28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</w:rPr>
        <w:t xml:space="preserve">Организационные аспекты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приема </w:t>
      </w:r>
    </w:p>
    <w:p w14:paraId="4680C168">
      <w:pPr>
        <w:pStyle w:val="28"/>
        <w:tabs>
          <w:tab w:val="left" w:pos="426"/>
        </w:tabs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на места в пределах </w:t>
      </w:r>
      <w:r>
        <w:rPr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отдельной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квоты</w:t>
      </w:r>
    </w:p>
    <w:p w14:paraId="548889B2">
      <w:pPr>
        <w:pStyle w:val="28"/>
        <w:tabs>
          <w:tab w:val="left" w:pos="426"/>
        </w:tabs>
        <w:jc w:val="center"/>
        <w:rPr>
          <w:b/>
          <w:bCs/>
          <w:color w:val="000000" w:themeColor="text1"/>
          <w:sz w:val="10"/>
          <w14:textFill>
            <w14:solidFill>
              <w14:schemeClr w14:val="tx1"/>
            </w14:solidFill>
          </w14:textFill>
        </w:rPr>
      </w:pPr>
    </w:p>
    <w:p w14:paraId="1517667B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При приеме на обучение на места в пределах </w:t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отдельной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квоты организациям необходимо применять адресный подход к абитуриентам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при приеме заявлений о приеме на обучение и документов, проводить для них разъяснительные мероприятия. При этом необходимо обратить особое внимание на лиц, выбирающих направления подготовки (специальности),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на которые прогнозируется высокий конкурс. </w:t>
      </w:r>
    </w:p>
    <w:p w14:paraId="3DC336FA">
      <w:pPr>
        <w:pStyle w:val="28"/>
        <w:tabs>
          <w:tab w:val="left" w:pos="1276"/>
        </w:tabs>
        <w:ind w:firstLine="709"/>
        <w:jc w:val="both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Рекомендуется информировать абитуриентов о том, что они могут подать заявление о приеме на </w:t>
      </w:r>
      <w:r>
        <w:t xml:space="preserve">обучение на места отдельной квоты </w:t>
      </w:r>
      <w:r>
        <w:br w:type="textWrapping"/>
      </w:r>
      <w:r>
        <w:t xml:space="preserve">в 5 организаций (вузов) на 5 направлений подготовки (специальностей) </w:t>
      </w:r>
      <w:r>
        <w:br w:type="textWrapping"/>
      </w:r>
      <w:r>
        <w:t xml:space="preserve">в каждой организации (в том числе на платные места). Это позволяет повысить вероятность поступления на обучение. После публикации конкурсных списков абитуриент увидит, в какие организации и на какие направления подготовки (специальности) он проходит по конкурсу, и сможет выбрать наиболее приоритетную для него организацию и подать в нее заявление </w:t>
      </w:r>
      <w:r>
        <w:br w:type="textWrapping"/>
      </w:r>
      <w:r>
        <w:t xml:space="preserve">о согласии на зачисление. </w:t>
      </w:r>
    </w:p>
    <w:p w14:paraId="0520FACD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t xml:space="preserve">Необходимо особо рассматривать случаи, когда абитуриенты поступают на места </w:t>
      </w:r>
      <w:r>
        <w:rPr>
          <w:shd w:val="clear" w:color="auto" w:fill="FFFFFF"/>
        </w:rPr>
        <w:t>отдельной</w:t>
      </w:r>
      <w:r>
        <w:t xml:space="preserve"> квоты без проведения вступительных испытаний и не имеют результатов ЕГЭ, в силу чего не могут участвовать </w:t>
      </w:r>
      <w:r>
        <w:br w:type="textWrapping"/>
      </w:r>
      <w:r>
        <w:t xml:space="preserve">в конкурсе на основные бюджетные места. Таким лицам нужно рекомендовать подать заявление о приеме на обучение на места </w:t>
      </w:r>
      <w:r>
        <w:rPr>
          <w:shd w:val="clear" w:color="auto" w:fill="FFFFFF"/>
        </w:rPr>
        <w:t>отдельной</w:t>
      </w:r>
      <w:r>
        <w:t xml:space="preserve"> квоты по иным направлениям подготовки (специальностям) в данную организацию, а также </w:t>
      </w:r>
      <w:r>
        <w:br w:type="textWrapping"/>
      </w:r>
      <w:r>
        <w:t>в иные организации.</w:t>
      </w:r>
    </w:p>
    <w:p w14:paraId="5D42461D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Необходимо давать абитуриентам разъяснения по поводу документов, подтверждающих право на прием на места </w:t>
      </w:r>
      <w:r>
        <w:rPr>
          <w:shd w:val="clear" w:color="auto" w:fill="FFFFFF"/>
        </w:rPr>
        <w:t>отдельной</w:t>
      </w:r>
      <w:r>
        <w:t xml:space="preserve"> квоты,</w:t>
      </w:r>
      <w:r>
        <w:br w:type="textWrapping"/>
      </w:r>
      <w:r>
        <w:t xml:space="preserve">в том числе по поводу документов, необходимых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для приема без проведения вступительных испытаний, а также по срокам их представления.</w:t>
      </w:r>
    </w:p>
    <w:p w14:paraId="5288B6DA">
      <w:pPr>
        <w:pStyle w:val="28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При ранжировании абитуриентов в конкурсных списках на места </w:t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отдельной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квоты без проведения вступительных испытаний необходимо использовать максимально широкий перечень индивидуальных достижений, учитываемых при равенстве поступающих по иным критериям ранжирования, в том числе средний балл документа об образовании и баллы по отдельным предметам. </w:t>
      </w:r>
    </w:p>
    <w:p w14:paraId="61DBADBF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</w:p>
    <w:p w14:paraId="43A56F73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  <w:sectPr>
          <w:headerReference r:id="rId5" w:type="default"/>
          <w:pgSz w:w="11906" w:h="16838"/>
          <w:pgMar w:top="1134" w:right="850" w:bottom="851" w:left="1701" w:header="708" w:footer="708" w:gutter="0"/>
          <w:pgNumType w:start="1"/>
          <w:cols w:space="708" w:num="1"/>
          <w:titlePg/>
          <w:docGrid w:linePitch="360" w:charSpace="0"/>
        </w:sectPr>
      </w:pPr>
    </w:p>
    <w:p w14:paraId="3CB15A4E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  <w:r>
        <w:t xml:space="preserve">ПРИЛОЖЕНИЕ </w:t>
      </w:r>
    </w:p>
    <w:p w14:paraId="7AE23FC5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  <w:r>
        <w:t xml:space="preserve">к </w:t>
      </w:r>
      <w:r>
        <w:rPr>
          <w:color w:val="000000"/>
        </w:rPr>
        <w:t xml:space="preserve">Методическим рекомендациям по организации приема на обучение </w:t>
      </w:r>
      <w:r>
        <w:rPr>
          <w:shd w:val="clear" w:color="auto" w:fill="FFFFFF"/>
        </w:rPr>
        <w:t xml:space="preserve">по программам бакалавриата, программам специалитета на места в пределах отдельной квоты, </w:t>
      </w:r>
      <w:r>
        <w:t xml:space="preserve">утвержденным Министерством науки и высшего образования Российской Федерации </w:t>
      </w:r>
    </w:p>
    <w:p w14:paraId="54B555D0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  <w:r>
        <w:t>________________ № ____</w:t>
      </w:r>
    </w:p>
    <w:p w14:paraId="4BA9E01B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rPr>
          <w:shd w:val="clear" w:color="auto" w:fill="FFFFFF"/>
        </w:rPr>
      </w:pPr>
    </w:p>
    <w:p w14:paraId="4F0759F4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  <w:jc w:val="right"/>
        <w:rPr>
          <w:i/>
        </w:rPr>
      </w:pPr>
      <w:r>
        <w:rPr>
          <w:rStyle w:val="40"/>
          <w:i w:val="0"/>
        </w:rPr>
        <w:t>Примерная форма</w:t>
      </w:r>
    </w:p>
    <w:p w14:paraId="6812BFED">
      <w:pPr>
        <w:pStyle w:val="37"/>
        <w:widowControl/>
        <w:shd w:val="clear" w:color="auto" w:fill="auto"/>
        <w:tabs>
          <w:tab w:val="left" w:pos="8482"/>
        </w:tabs>
        <w:spacing w:before="0" w:after="0" w:line="240" w:lineRule="auto"/>
      </w:pPr>
      <w:r>
        <w:t>Угловой штамп</w:t>
      </w:r>
      <w:r>
        <w:tab/>
      </w:r>
    </w:p>
    <w:p w14:paraId="3259E295">
      <w:pPr>
        <w:pStyle w:val="37"/>
        <w:widowControl/>
        <w:shd w:val="clear" w:color="auto" w:fill="auto"/>
        <w:spacing w:before="0" w:after="0" w:line="240" w:lineRule="auto"/>
      </w:pPr>
      <w:r>
        <w:t>организации</w:t>
      </w:r>
    </w:p>
    <w:p w14:paraId="3D562ECB">
      <w:pPr>
        <w:pStyle w:val="37"/>
        <w:widowControl/>
        <w:shd w:val="clear" w:color="auto" w:fill="auto"/>
        <w:spacing w:before="0" w:after="0" w:line="240" w:lineRule="auto"/>
        <w:ind w:left="4360"/>
        <w:jc w:val="left"/>
      </w:pPr>
    </w:p>
    <w:p w14:paraId="2E4DF238">
      <w:pPr>
        <w:pStyle w:val="37"/>
        <w:widowControl/>
        <w:shd w:val="clear" w:color="auto" w:fill="auto"/>
        <w:spacing w:before="0" w:after="0" w:line="240" w:lineRule="auto"/>
        <w:ind w:left="4360"/>
        <w:jc w:val="left"/>
      </w:pPr>
      <w:r>
        <w:t>СПРАВКА</w:t>
      </w:r>
    </w:p>
    <w:p w14:paraId="7F522B54">
      <w:pPr>
        <w:pStyle w:val="37"/>
        <w:widowControl/>
        <w:shd w:val="clear" w:color="auto" w:fill="auto"/>
        <w:spacing w:before="0" w:after="0" w:line="240" w:lineRule="auto"/>
        <w:ind w:left="4360"/>
        <w:jc w:val="left"/>
      </w:pPr>
    </w:p>
    <w:p w14:paraId="0E551F51">
      <w:pPr>
        <w:pStyle w:val="37"/>
        <w:widowControl/>
        <w:shd w:val="clear" w:color="auto" w:fill="auto"/>
        <w:tabs>
          <w:tab w:val="left" w:leader="underscore" w:pos="9447"/>
        </w:tabs>
        <w:spacing w:before="0" w:after="0" w:line="240" w:lineRule="auto"/>
        <w:ind w:firstLine="567"/>
      </w:pPr>
      <w:r>
        <w:t>Выдана _______________________________________________________</w:t>
      </w:r>
    </w:p>
    <w:p w14:paraId="729F2C2E">
      <w:pPr>
        <w:pStyle w:val="37"/>
        <w:widowControl/>
        <w:shd w:val="clear" w:color="auto" w:fill="auto"/>
        <w:tabs>
          <w:tab w:val="left" w:leader="underscore" w:pos="9447"/>
        </w:tabs>
        <w:spacing w:before="0" w:after="0" w:line="240" w:lineRule="auto"/>
      </w:pPr>
      <w:r>
        <w:t>__________________________________________________________________</w:t>
      </w:r>
    </w:p>
    <w:p w14:paraId="5F6EE508">
      <w:pPr>
        <w:pStyle w:val="42"/>
        <w:widowControl/>
        <w:shd w:val="clear" w:color="auto" w:fill="auto"/>
        <w:spacing w:after="0" w:line="240" w:lineRule="auto"/>
        <w:jc w:val="center"/>
      </w:pPr>
      <w:r>
        <w:t>фамилия, имя, отчество (при наличии), дата рождения</w:t>
      </w:r>
    </w:p>
    <w:p w14:paraId="3C555BB8">
      <w:pPr>
        <w:pStyle w:val="42"/>
        <w:widowControl/>
        <w:shd w:val="clear" w:color="auto" w:fill="auto"/>
        <w:spacing w:after="0" w:line="240" w:lineRule="auto"/>
        <w:jc w:val="center"/>
      </w:pPr>
    </w:p>
    <w:p w14:paraId="31AC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том, что он (она) имеет право на прием на обучение по программам бакалавриата, программам специалитета </w:t>
      </w:r>
    </w:p>
    <w:p w14:paraId="1BBEF9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без проведения вступительных испытаний (за исключением дополнительных вступительных испытаний творческой и (или) профессиональной направленности) </w:t>
      </w:r>
      <w:r>
        <w:rPr>
          <w:rFonts w:ascii="Times New Roman" w:hAnsi="Times New Roman"/>
          <w:i/>
          <w:sz w:val="28"/>
          <w:szCs w:val="28"/>
        </w:rPr>
        <w:t xml:space="preserve">в соответствии с первым предложением части 5.2 </w:t>
      </w:r>
      <w:r>
        <w:rPr>
          <w:rFonts w:ascii="Times New Roman" w:hAnsi="Times New Roman"/>
          <w:bCs/>
          <w:i/>
          <w:sz w:val="28"/>
          <w:szCs w:val="28"/>
        </w:rPr>
        <w:t xml:space="preserve">статьи 71 </w:t>
      </w:r>
      <w:r>
        <w:rPr>
          <w:rFonts w:ascii="Times New Roman" w:hAnsi="Times New Roman"/>
          <w:i/>
          <w:sz w:val="28"/>
          <w:szCs w:val="28"/>
        </w:rPr>
        <w:t xml:space="preserve">Федерального закона от 29 декабря 2012 г. № 273-ФЗ «Об образовании </w:t>
      </w:r>
      <w:r>
        <w:rPr>
          <w:rFonts w:ascii="Times New Roman" w:hAnsi="Times New Roman"/>
          <w:i/>
          <w:sz w:val="28"/>
          <w:szCs w:val="28"/>
        </w:rPr>
        <w:br w:type="textWrapping"/>
      </w:r>
      <w:r>
        <w:rPr>
          <w:rFonts w:ascii="Times New Roman" w:hAnsi="Times New Roman"/>
          <w:i/>
          <w:sz w:val="28"/>
          <w:szCs w:val="28"/>
        </w:rPr>
        <w:t xml:space="preserve">в Российской Федерации» /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по результатам единого государственного экзамена или по результатам вступительных испытаний, проводимых образовательной организацией высшего образования самостоятельно, </w:t>
      </w:r>
      <w:r>
        <w:rPr>
          <w:rFonts w:ascii="Times New Roman" w:hAnsi="Times New Roman"/>
          <w:i/>
          <w:sz w:val="28"/>
          <w:szCs w:val="28"/>
          <w:lang w:eastAsia="ru-RU"/>
        </w:rPr>
        <w:br w:type="textWrapping"/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по выбору поступающего </w:t>
      </w:r>
      <w:r>
        <w:rPr>
          <w:rFonts w:ascii="Times New Roman" w:hAnsi="Times New Roman"/>
          <w:i/>
          <w:sz w:val="28"/>
          <w:szCs w:val="28"/>
        </w:rPr>
        <w:t xml:space="preserve">в соответствии со вторым предложением части 5.2 </w:t>
      </w:r>
      <w:r>
        <w:rPr>
          <w:rFonts w:ascii="Times New Roman" w:hAnsi="Times New Roman"/>
          <w:bCs/>
          <w:i/>
          <w:sz w:val="28"/>
          <w:szCs w:val="28"/>
        </w:rPr>
        <w:t xml:space="preserve">статьи 71 </w:t>
      </w:r>
      <w:r>
        <w:rPr>
          <w:rFonts w:ascii="Times New Roman" w:hAnsi="Times New Roman"/>
          <w:i/>
          <w:sz w:val="28"/>
          <w:szCs w:val="28"/>
        </w:rPr>
        <w:t xml:space="preserve">Федерального закона от 29 декабря 2012 г. № 273-ФЗ </w:t>
      </w:r>
      <w:r>
        <w:rPr>
          <w:rFonts w:ascii="Times New Roman" w:hAnsi="Times New Roman"/>
          <w:i/>
          <w:sz w:val="28"/>
          <w:szCs w:val="28"/>
        </w:rPr>
        <w:br w:type="textWrapping"/>
      </w:r>
      <w:r>
        <w:rPr>
          <w:rFonts w:ascii="Times New Roman" w:hAnsi="Times New Roman"/>
          <w:i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(выбрать нужное).</w:t>
      </w:r>
    </w:p>
    <w:p w14:paraId="0874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38ED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выдана для представления в образовательные организации высшего образования. </w:t>
      </w:r>
    </w:p>
    <w:p w14:paraId="6AF87DAE">
      <w:pPr>
        <w:pStyle w:val="37"/>
        <w:widowControl/>
        <w:shd w:val="clear" w:color="auto" w:fill="auto"/>
        <w:spacing w:before="0" w:after="0" w:line="240" w:lineRule="auto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211"/>
        <w:gridCol w:w="3285"/>
      </w:tblGrid>
      <w:tr w14:paraId="77D8F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9FA6050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</w:pPr>
            <w:r>
              <w:t>___________________________</w:t>
            </w:r>
          </w:p>
        </w:tc>
        <w:tc>
          <w:tcPr>
            <w:tcW w:w="2211" w:type="dxa"/>
          </w:tcPr>
          <w:p w14:paraId="754DD0AD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</w:pPr>
            <w:r>
              <w:t>______________</w:t>
            </w:r>
          </w:p>
        </w:tc>
        <w:tc>
          <w:tcPr>
            <w:tcW w:w="3285" w:type="dxa"/>
          </w:tcPr>
          <w:p w14:paraId="454B611A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</w:pPr>
            <w:r>
              <w:t>____________________</w:t>
            </w:r>
          </w:p>
        </w:tc>
      </w:tr>
      <w:tr w14:paraId="681D6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A8CCB9B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должностного лица,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40"/>
                <w:i w:val="0"/>
                <w:iCs w:val="0"/>
                <w:sz w:val="24"/>
                <w:szCs w:val="24"/>
              </w:rPr>
              <w:t>наименование органа</w:t>
            </w:r>
            <w:r>
              <w:rPr>
                <w:sz w:val="24"/>
                <w:szCs w:val="24"/>
              </w:rPr>
              <w:t>, выдавшего справку</w:t>
            </w:r>
          </w:p>
        </w:tc>
        <w:tc>
          <w:tcPr>
            <w:tcW w:w="2211" w:type="dxa"/>
          </w:tcPr>
          <w:p w14:paraId="666BCD27">
            <w:pPr>
              <w:pStyle w:val="39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35"/>
                <w:sz w:val="24"/>
                <w:szCs w:val="24"/>
              </w:rPr>
              <w:t>подпись</w:t>
            </w:r>
          </w:p>
          <w:p w14:paraId="50AA34D2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14:paraId="2CB94C75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3285" w:type="dxa"/>
          </w:tcPr>
          <w:p w14:paraId="5BB6FB1F">
            <w:pPr>
              <w:pStyle w:val="39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35"/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должностного лица</w:t>
            </w:r>
          </w:p>
          <w:p w14:paraId="15CCAD34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0CE2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C2B7A99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14:paraId="3B0B2FAD">
            <w:pPr>
              <w:pStyle w:val="37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________________ 20___ г.</w:t>
            </w:r>
          </w:p>
        </w:tc>
        <w:tc>
          <w:tcPr>
            <w:tcW w:w="2211" w:type="dxa"/>
          </w:tcPr>
          <w:p w14:paraId="3730CF7F">
            <w:pPr>
              <w:pStyle w:val="44"/>
              <w:keepNext/>
              <w:keepLines/>
              <w:widowControl/>
              <w:shd w:val="clear" w:color="auto" w:fill="auto"/>
              <w:spacing w:after="0" w:line="240" w:lineRule="auto"/>
              <w:ind w:left="360"/>
              <w:jc w:val="center"/>
              <w:rPr>
                <w:rStyle w:val="35"/>
                <w:sz w:val="24"/>
                <w:szCs w:val="24"/>
              </w:rPr>
            </w:pPr>
          </w:p>
        </w:tc>
        <w:tc>
          <w:tcPr>
            <w:tcW w:w="3285" w:type="dxa"/>
          </w:tcPr>
          <w:p w14:paraId="66951832">
            <w:pPr>
              <w:pStyle w:val="39"/>
              <w:widowControl/>
              <w:shd w:val="clear" w:color="auto" w:fill="auto"/>
              <w:spacing w:line="240" w:lineRule="auto"/>
              <w:jc w:val="center"/>
              <w:rPr>
                <w:rStyle w:val="35"/>
                <w:sz w:val="24"/>
                <w:szCs w:val="24"/>
              </w:rPr>
            </w:pPr>
          </w:p>
        </w:tc>
      </w:tr>
    </w:tbl>
    <w:p w14:paraId="7FB86075">
      <w:pPr>
        <w:pStyle w:val="28"/>
        <w:tabs>
          <w:tab w:val="left" w:pos="1134"/>
        </w:tabs>
        <w:jc w:val="both"/>
      </w:pPr>
    </w:p>
    <w:p w14:paraId="5F596D34">
      <w:pPr>
        <w:pStyle w:val="28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 исполнителя </w:t>
      </w:r>
    </w:p>
    <w:p w14:paraId="04BF3D49">
      <w:pPr>
        <w:pStyle w:val="28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(указываются по решению органа, </w:t>
      </w:r>
    </w:p>
    <w:p w14:paraId="379EC162">
      <w:pPr>
        <w:pStyle w:val="28"/>
        <w:tabs>
          <w:tab w:val="left" w:pos="1134"/>
        </w:tabs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>выдавшего справку)</w:t>
      </w:r>
    </w:p>
    <w:sectPr>
      <w:pgSz w:w="11906" w:h="16838"/>
      <w:pgMar w:top="1134" w:right="850" w:bottom="1134" w:left="1701" w:header="708" w:footer="708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20109248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7F3353D1">
        <w:pPr>
          <w:pStyle w:val="1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F238304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EC7522"/>
    <w:multiLevelType w:val="multilevel"/>
    <w:tmpl w:val="0CEC7522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D2172B"/>
    <w:multiLevelType w:val="multilevel"/>
    <w:tmpl w:val="13D2172B"/>
    <w:lvl w:ilvl="0" w:tentative="0">
      <w:start w:val="1"/>
      <w:numFmt w:val="upperRoman"/>
      <w:lvlText w:val="%1."/>
      <w:lvlJc w:val="left"/>
      <w:pPr>
        <w:ind w:left="2989" w:hanging="72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383C73"/>
    <w:multiLevelType w:val="multilevel"/>
    <w:tmpl w:val="3E383C73"/>
    <w:lvl w:ilvl="0" w:tentative="0">
      <w:start w:val="1"/>
      <w:numFmt w:val="decimal"/>
      <w:lvlText w:val="%1."/>
      <w:lvlJc w:val="left"/>
      <w:pPr>
        <w:ind w:left="1211" w:hanging="360"/>
      </w:pPr>
      <w:rPr>
        <w:rFonts w:hint="default" w:cs="Times New Roman"/>
        <w:b w:val="0"/>
        <w:bCs/>
        <w:color w:val="auto"/>
      </w:rPr>
    </w:lvl>
    <w:lvl w:ilvl="1" w:tentative="0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22"/>
    <w:rsid w:val="000023B8"/>
    <w:rsid w:val="00006E7F"/>
    <w:rsid w:val="00010BCB"/>
    <w:rsid w:val="0001526E"/>
    <w:rsid w:val="00023846"/>
    <w:rsid w:val="000239CB"/>
    <w:rsid w:val="00031F43"/>
    <w:rsid w:val="00037067"/>
    <w:rsid w:val="00041862"/>
    <w:rsid w:val="000437CA"/>
    <w:rsid w:val="00044883"/>
    <w:rsid w:val="00044E1A"/>
    <w:rsid w:val="000472AD"/>
    <w:rsid w:val="000473E0"/>
    <w:rsid w:val="00050E21"/>
    <w:rsid w:val="00050ED8"/>
    <w:rsid w:val="0005159B"/>
    <w:rsid w:val="0005214B"/>
    <w:rsid w:val="000533B9"/>
    <w:rsid w:val="00053F35"/>
    <w:rsid w:val="00054876"/>
    <w:rsid w:val="00060931"/>
    <w:rsid w:val="00061EE1"/>
    <w:rsid w:val="0006264E"/>
    <w:rsid w:val="00065503"/>
    <w:rsid w:val="00065546"/>
    <w:rsid w:val="00065DE0"/>
    <w:rsid w:val="00070789"/>
    <w:rsid w:val="00071D92"/>
    <w:rsid w:val="000727D6"/>
    <w:rsid w:val="00072B15"/>
    <w:rsid w:val="00073229"/>
    <w:rsid w:val="00075B90"/>
    <w:rsid w:val="00076869"/>
    <w:rsid w:val="00080350"/>
    <w:rsid w:val="00082157"/>
    <w:rsid w:val="0008275E"/>
    <w:rsid w:val="00083831"/>
    <w:rsid w:val="000839DB"/>
    <w:rsid w:val="0008666D"/>
    <w:rsid w:val="0009155F"/>
    <w:rsid w:val="00091AC1"/>
    <w:rsid w:val="00092CEF"/>
    <w:rsid w:val="00095BCC"/>
    <w:rsid w:val="00095DD6"/>
    <w:rsid w:val="000A0628"/>
    <w:rsid w:val="000A18B5"/>
    <w:rsid w:val="000A2F80"/>
    <w:rsid w:val="000A373E"/>
    <w:rsid w:val="000A40AA"/>
    <w:rsid w:val="000A6B23"/>
    <w:rsid w:val="000A6E25"/>
    <w:rsid w:val="000B054D"/>
    <w:rsid w:val="000B1131"/>
    <w:rsid w:val="000B281E"/>
    <w:rsid w:val="000B31C2"/>
    <w:rsid w:val="000B6B65"/>
    <w:rsid w:val="000B7096"/>
    <w:rsid w:val="000B70C1"/>
    <w:rsid w:val="000B7931"/>
    <w:rsid w:val="000C05FF"/>
    <w:rsid w:val="000C0F91"/>
    <w:rsid w:val="000C1EE3"/>
    <w:rsid w:val="000C4524"/>
    <w:rsid w:val="000C72EA"/>
    <w:rsid w:val="000C7BFE"/>
    <w:rsid w:val="000C7FE2"/>
    <w:rsid w:val="000D071D"/>
    <w:rsid w:val="000D29B2"/>
    <w:rsid w:val="000D33C1"/>
    <w:rsid w:val="000D6F2B"/>
    <w:rsid w:val="000E0CFF"/>
    <w:rsid w:val="000E58C3"/>
    <w:rsid w:val="000E5D61"/>
    <w:rsid w:val="000E6558"/>
    <w:rsid w:val="000F0983"/>
    <w:rsid w:val="000F0EFA"/>
    <w:rsid w:val="000F1EC4"/>
    <w:rsid w:val="000F338D"/>
    <w:rsid w:val="00100DCB"/>
    <w:rsid w:val="00101FCC"/>
    <w:rsid w:val="00102CDC"/>
    <w:rsid w:val="00102F66"/>
    <w:rsid w:val="0010378F"/>
    <w:rsid w:val="00104223"/>
    <w:rsid w:val="00105F12"/>
    <w:rsid w:val="00110185"/>
    <w:rsid w:val="00111401"/>
    <w:rsid w:val="00111B29"/>
    <w:rsid w:val="00115348"/>
    <w:rsid w:val="00117C21"/>
    <w:rsid w:val="00120503"/>
    <w:rsid w:val="00120F44"/>
    <w:rsid w:val="0012460B"/>
    <w:rsid w:val="001263DD"/>
    <w:rsid w:val="0012739D"/>
    <w:rsid w:val="0013167D"/>
    <w:rsid w:val="0013564E"/>
    <w:rsid w:val="00142830"/>
    <w:rsid w:val="00142FFF"/>
    <w:rsid w:val="0014356F"/>
    <w:rsid w:val="00144260"/>
    <w:rsid w:val="00147F3C"/>
    <w:rsid w:val="001514FD"/>
    <w:rsid w:val="00151511"/>
    <w:rsid w:val="0015343F"/>
    <w:rsid w:val="0015453A"/>
    <w:rsid w:val="001615D1"/>
    <w:rsid w:val="00163578"/>
    <w:rsid w:val="00165AD8"/>
    <w:rsid w:val="00166280"/>
    <w:rsid w:val="00166DCC"/>
    <w:rsid w:val="00170AF9"/>
    <w:rsid w:val="001722A5"/>
    <w:rsid w:val="00173A98"/>
    <w:rsid w:val="001764D5"/>
    <w:rsid w:val="00176966"/>
    <w:rsid w:val="00177C2E"/>
    <w:rsid w:val="001817DF"/>
    <w:rsid w:val="00182153"/>
    <w:rsid w:val="00182171"/>
    <w:rsid w:val="00182BC8"/>
    <w:rsid w:val="00184DBE"/>
    <w:rsid w:val="00185C0C"/>
    <w:rsid w:val="001905C6"/>
    <w:rsid w:val="001905CD"/>
    <w:rsid w:val="00192879"/>
    <w:rsid w:val="00195EEC"/>
    <w:rsid w:val="00197C01"/>
    <w:rsid w:val="001A0DA5"/>
    <w:rsid w:val="001A1EFA"/>
    <w:rsid w:val="001A2789"/>
    <w:rsid w:val="001A3A05"/>
    <w:rsid w:val="001A4FC9"/>
    <w:rsid w:val="001A6AF6"/>
    <w:rsid w:val="001A7C0F"/>
    <w:rsid w:val="001B0F8B"/>
    <w:rsid w:val="001B1637"/>
    <w:rsid w:val="001B2F91"/>
    <w:rsid w:val="001B5CD7"/>
    <w:rsid w:val="001C1ABA"/>
    <w:rsid w:val="001C1F89"/>
    <w:rsid w:val="001C4B57"/>
    <w:rsid w:val="001C6441"/>
    <w:rsid w:val="001C65DB"/>
    <w:rsid w:val="001C75AC"/>
    <w:rsid w:val="001D0DB6"/>
    <w:rsid w:val="001D2F8F"/>
    <w:rsid w:val="001D3D2C"/>
    <w:rsid w:val="001D470B"/>
    <w:rsid w:val="001D711D"/>
    <w:rsid w:val="001E024B"/>
    <w:rsid w:val="001E03D8"/>
    <w:rsid w:val="001E2FEB"/>
    <w:rsid w:val="001E441A"/>
    <w:rsid w:val="001E4989"/>
    <w:rsid w:val="001E5C36"/>
    <w:rsid w:val="001E61ED"/>
    <w:rsid w:val="001E7E0E"/>
    <w:rsid w:val="001F1AA7"/>
    <w:rsid w:val="001F487C"/>
    <w:rsid w:val="001F605F"/>
    <w:rsid w:val="001F6A85"/>
    <w:rsid w:val="00200C4D"/>
    <w:rsid w:val="00203D74"/>
    <w:rsid w:val="00203FCA"/>
    <w:rsid w:val="0020562E"/>
    <w:rsid w:val="00205F48"/>
    <w:rsid w:val="00210188"/>
    <w:rsid w:val="002103C2"/>
    <w:rsid w:val="002140C8"/>
    <w:rsid w:val="00220278"/>
    <w:rsid w:val="00221282"/>
    <w:rsid w:val="0022218E"/>
    <w:rsid w:val="00223CA0"/>
    <w:rsid w:val="0022551C"/>
    <w:rsid w:val="00225554"/>
    <w:rsid w:val="00227319"/>
    <w:rsid w:val="00230D5F"/>
    <w:rsid w:val="00232619"/>
    <w:rsid w:val="002326EB"/>
    <w:rsid w:val="00233BCE"/>
    <w:rsid w:val="00234045"/>
    <w:rsid w:val="00235D30"/>
    <w:rsid w:val="002402B2"/>
    <w:rsid w:val="002419C4"/>
    <w:rsid w:val="00243130"/>
    <w:rsid w:val="00246106"/>
    <w:rsid w:val="00247C17"/>
    <w:rsid w:val="002501D4"/>
    <w:rsid w:val="0025111D"/>
    <w:rsid w:val="002539C4"/>
    <w:rsid w:val="0025642E"/>
    <w:rsid w:val="00257685"/>
    <w:rsid w:val="002602C3"/>
    <w:rsid w:val="00261A8F"/>
    <w:rsid w:val="0026477E"/>
    <w:rsid w:val="002654BA"/>
    <w:rsid w:val="0026614D"/>
    <w:rsid w:val="00270E64"/>
    <w:rsid w:val="00271C93"/>
    <w:rsid w:val="00271EDB"/>
    <w:rsid w:val="00272491"/>
    <w:rsid w:val="00272FF1"/>
    <w:rsid w:val="0027326D"/>
    <w:rsid w:val="00273461"/>
    <w:rsid w:val="00275F6A"/>
    <w:rsid w:val="00276A50"/>
    <w:rsid w:val="00276D08"/>
    <w:rsid w:val="00281807"/>
    <w:rsid w:val="00281841"/>
    <w:rsid w:val="00281FE8"/>
    <w:rsid w:val="00282ACC"/>
    <w:rsid w:val="002843E7"/>
    <w:rsid w:val="00285D44"/>
    <w:rsid w:val="00286F3E"/>
    <w:rsid w:val="00290404"/>
    <w:rsid w:val="00295274"/>
    <w:rsid w:val="00295B92"/>
    <w:rsid w:val="002A0263"/>
    <w:rsid w:val="002A046D"/>
    <w:rsid w:val="002A5090"/>
    <w:rsid w:val="002A53F5"/>
    <w:rsid w:val="002A751A"/>
    <w:rsid w:val="002B02D7"/>
    <w:rsid w:val="002B1369"/>
    <w:rsid w:val="002B1717"/>
    <w:rsid w:val="002B2F13"/>
    <w:rsid w:val="002B328F"/>
    <w:rsid w:val="002B4433"/>
    <w:rsid w:val="002B61F0"/>
    <w:rsid w:val="002C6142"/>
    <w:rsid w:val="002C7D7A"/>
    <w:rsid w:val="002D22A8"/>
    <w:rsid w:val="002D2E19"/>
    <w:rsid w:val="002D5984"/>
    <w:rsid w:val="002D73EB"/>
    <w:rsid w:val="002D77B9"/>
    <w:rsid w:val="002E19E3"/>
    <w:rsid w:val="002E41AC"/>
    <w:rsid w:val="002E645A"/>
    <w:rsid w:val="002E64F2"/>
    <w:rsid w:val="002F4094"/>
    <w:rsid w:val="002F40EC"/>
    <w:rsid w:val="002F45DF"/>
    <w:rsid w:val="002F5857"/>
    <w:rsid w:val="002F6FCB"/>
    <w:rsid w:val="002F7CA8"/>
    <w:rsid w:val="00300A49"/>
    <w:rsid w:val="0030325A"/>
    <w:rsid w:val="003033EF"/>
    <w:rsid w:val="00303503"/>
    <w:rsid w:val="0030409A"/>
    <w:rsid w:val="00305576"/>
    <w:rsid w:val="00305E13"/>
    <w:rsid w:val="00307162"/>
    <w:rsid w:val="0031005A"/>
    <w:rsid w:val="00311F17"/>
    <w:rsid w:val="00312076"/>
    <w:rsid w:val="0031484E"/>
    <w:rsid w:val="003176A7"/>
    <w:rsid w:val="00320904"/>
    <w:rsid w:val="00326034"/>
    <w:rsid w:val="00330B14"/>
    <w:rsid w:val="003329C1"/>
    <w:rsid w:val="00335434"/>
    <w:rsid w:val="00335772"/>
    <w:rsid w:val="00336F3E"/>
    <w:rsid w:val="003418FE"/>
    <w:rsid w:val="00342573"/>
    <w:rsid w:val="00342EEE"/>
    <w:rsid w:val="00350A98"/>
    <w:rsid w:val="00351349"/>
    <w:rsid w:val="00351A26"/>
    <w:rsid w:val="00352905"/>
    <w:rsid w:val="003548D0"/>
    <w:rsid w:val="00354E3A"/>
    <w:rsid w:val="0035546A"/>
    <w:rsid w:val="00357910"/>
    <w:rsid w:val="00357BA5"/>
    <w:rsid w:val="00360F76"/>
    <w:rsid w:val="00362593"/>
    <w:rsid w:val="00363524"/>
    <w:rsid w:val="00363F09"/>
    <w:rsid w:val="00364A1C"/>
    <w:rsid w:val="00370306"/>
    <w:rsid w:val="00370334"/>
    <w:rsid w:val="003717EB"/>
    <w:rsid w:val="003748CC"/>
    <w:rsid w:val="00375B2E"/>
    <w:rsid w:val="00376643"/>
    <w:rsid w:val="00377211"/>
    <w:rsid w:val="00380070"/>
    <w:rsid w:val="00380C1C"/>
    <w:rsid w:val="00383C6C"/>
    <w:rsid w:val="00385A31"/>
    <w:rsid w:val="00385AFF"/>
    <w:rsid w:val="003862C5"/>
    <w:rsid w:val="00387DA9"/>
    <w:rsid w:val="003903E1"/>
    <w:rsid w:val="00391BBA"/>
    <w:rsid w:val="003962E2"/>
    <w:rsid w:val="00397B77"/>
    <w:rsid w:val="003A1BF9"/>
    <w:rsid w:val="003A41BD"/>
    <w:rsid w:val="003A667B"/>
    <w:rsid w:val="003A6D85"/>
    <w:rsid w:val="003A77E6"/>
    <w:rsid w:val="003B0337"/>
    <w:rsid w:val="003B076C"/>
    <w:rsid w:val="003B17B6"/>
    <w:rsid w:val="003B2BCC"/>
    <w:rsid w:val="003B3E48"/>
    <w:rsid w:val="003B5976"/>
    <w:rsid w:val="003B7029"/>
    <w:rsid w:val="003B7130"/>
    <w:rsid w:val="003C0469"/>
    <w:rsid w:val="003C04D6"/>
    <w:rsid w:val="003C26AA"/>
    <w:rsid w:val="003C3B16"/>
    <w:rsid w:val="003C3E30"/>
    <w:rsid w:val="003C4929"/>
    <w:rsid w:val="003C511C"/>
    <w:rsid w:val="003C556D"/>
    <w:rsid w:val="003C56FA"/>
    <w:rsid w:val="003C68AE"/>
    <w:rsid w:val="003C69B9"/>
    <w:rsid w:val="003D08AF"/>
    <w:rsid w:val="003D1781"/>
    <w:rsid w:val="003D4612"/>
    <w:rsid w:val="003D5D68"/>
    <w:rsid w:val="003D7043"/>
    <w:rsid w:val="003E0D5C"/>
    <w:rsid w:val="003E20CA"/>
    <w:rsid w:val="003E37F8"/>
    <w:rsid w:val="003E3C86"/>
    <w:rsid w:val="003E462A"/>
    <w:rsid w:val="003E52FB"/>
    <w:rsid w:val="003E7910"/>
    <w:rsid w:val="003F3236"/>
    <w:rsid w:val="003F4B32"/>
    <w:rsid w:val="004004B6"/>
    <w:rsid w:val="004012EC"/>
    <w:rsid w:val="004027C3"/>
    <w:rsid w:val="00404222"/>
    <w:rsid w:val="00404504"/>
    <w:rsid w:val="0040511E"/>
    <w:rsid w:val="00405A7F"/>
    <w:rsid w:val="004113D8"/>
    <w:rsid w:val="00411404"/>
    <w:rsid w:val="004125EA"/>
    <w:rsid w:val="004125FB"/>
    <w:rsid w:val="004133C8"/>
    <w:rsid w:val="00416C22"/>
    <w:rsid w:val="00420BB9"/>
    <w:rsid w:val="00421435"/>
    <w:rsid w:val="00421B92"/>
    <w:rsid w:val="00425B20"/>
    <w:rsid w:val="00426AC9"/>
    <w:rsid w:val="00431E25"/>
    <w:rsid w:val="00435486"/>
    <w:rsid w:val="004413B5"/>
    <w:rsid w:val="004413DE"/>
    <w:rsid w:val="0044177A"/>
    <w:rsid w:val="00442622"/>
    <w:rsid w:val="00442EBD"/>
    <w:rsid w:val="0044320D"/>
    <w:rsid w:val="00443729"/>
    <w:rsid w:val="0044666E"/>
    <w:rsid w:val="004466B7"/>
    <w:rsid w:val="00447086"/>
    <w:rsid w:val="00447329"/>
    <w:rsid w:val="00450894"/>
    <w:rsid w:val="00453696"/>
    <w:rsid w:val="00453CA1"/>
    <w:rsid w:val="00454837"/>
    <w:rsid w:val="00455498"/>
    <w:rsid w:val="00457689"/>
    <w:rsid w:val="00460FC9"/>
    <w:rsid w:val="00462C43"/>
    <w:rsid w:val="0046650A"/>
    <w:rsid w:val="004678C1"/>
    <w:rsid w:val="004709A3"/>
    <w:rsid w:val="00470D8A"/>
    <w:rsid w:val="004720F6"/>
    <w:rsid w:val="00472589"/>
    <w:rsid w:val="00474E7E"/>
    <w:rsid w:val="00477833"/>
    <w:rsid w:val="004823ED"/>
    <w:rsid w:val="004834AF"/>
    <w:rsid w:val="004834BF"/>
    <w:rsid w:val="004848C4"/>
    <w:rsid w:val="004919CF"/>
    <w:rsid w:val="00491B88"/>
    <w:rsid w:val="00491C68"/>
    <w:rsid w:val="004924CF"/>
    <w:rsid w:val="00494364"/>
    <w:rsid w:val="00495CD5"/>
    <w:rsid w:val="00496325"/>
    <w:rsid w:val="00496B89"/>
    <w:rsid w:val="004A0B8D"/>
    <w:rsid w:val="004A1DA8"/>
    <w:rsid w:val="004A2450"/>
    <w:rsid w:val="004A248E"/>
    <w:rsid w:val="004A2E45"/>
    <w:rsid w:val="004A5713"/>
    <w:rsid w:val="004A6E48"/>
    <w:rsid w:val="004A6EE9"/>
    <w:rsid w:val="004B25CD"/>
    <w:rsid w:val="004B3D02"/>
    <w:rsid w:val="004B4313"/>
    <w:rsid w:val="004B4FE0"/>
    <w:rsid w:val="004B5BA1"/>
    <w:rsid w:val="004B736F"/>
    <w:rsid w:val="004C16CA"/>
    <w:rsid w:val="004C408E"/>
    <w:rsid w:val="004C6105"/>
    <w:rsid w:val="004C6D1D"/>
    <w:rsid w:val="004D156F"/>
    <w:rsid w:val="004D2490"/>
    <w:rsid w:val="004D26B6"/>
    <w:rsid w:val="004D4534"/>
    <w:rsid w:val="004D4733"/>
    <w:rsid w:val="004D4996"/>
    <w:rsid w:val="004D5D28"/>
    <w:rsid w:val="004D7B74"/>
    <w:rsid w:val="004E1A18"/>
    <w:rsid w:val="004E4125"/>
    <w:rsid w:val="004E487B"/>
    <w:rsid w:val="004E56BB"/>
    <w:rsid w:val="004F11BD"/>
    <w:rsid w:val="004F17C6"/>
    <w:rsid w:val="004F21EB"/>
    <w:rsid w:val="004F2787"/>
    <w:rsid w:val="004F7C18"/>
    <w:rsid w:val="004F7CDD"/>
    <w:rsid w:val="00502C48"/>
    <w:rsid w:val="00504787"/>
    <w:rsid w:val="0050691A"/>
    <w:rsid w:val="00507013"/>
    <w:rsid w:val="005073B1"/>
    <w:rsid w:val="00507400"/>
    <w:rsid w:val="00507728"/>
    <w:rsid w:val="005128BC"/>
    <w:rsid w:val="00515BED"/>
    <w:rsid w:val="005205D7"/>
    <w:rsid w:val="00523960"/>
    <w:rsid w:val="005255D1"/>
    <w:rsid w:val="00534591"/>
    <w:rsid w:val="0053647B"/>
    <w:rsid w:val="005400FE"/>
    <w:rsid w:val="0054074E"/>
    <w:rsid w:val="00540977"/>
    <w:rsid w:val="00542CC4"/>
    <w:rsid w:val="00543C1C"/>
    <w:rsid w:val="005470D5"/>
    <w:rsid w:val="00550958"/>
    <w:rsid w:val="0055276B"/>
    <w:rsid w:val="0055327B"/>
    <w:rsid w:val="005539DB"/>
    <w:rsid w:val="005555D8"/>
    <w:rsid w:val="005622F7"/>
    <w:rsid w:val="00562B86"/>
    <w:rsid w:val="00565C82"/>
    <w:rsid w:val="005664DE"/>
    <w:rsid w:val="00570E85"/>
    <w:rsid w:val="00573AE9"/>
    <w:rsid w:val="005779B9"/>
    <w:rsid w:val="00580C8B"/>
    <w:rsid w:val="00585FE3"/>
    <w:rsid w:val="00586C1D"/>
    <w:rsid w:val="00592405"/>
    <w:rsid w:val="005934A4"/>
    <w:rsid w:val="005941B1"/>
    <w:rsid w:val="005951F9"/>
    <w:rsid w:val="00595F82"/>
    <w:rsid w:val="00596BA5"/>
    <w:rsid w:val="00597AC6"/>
    <w:rsid w:val="005A0FAB"/>
    <w:rsid w:val="005A12D4"/>
    <w:rsid w:val="005A5462"/>
    <w:rsid w:val="005A5523"/>
    <w:rsid w:val="005A5D43"/>
    <w:rsid w:val="005A77FE"/>
    <w:rsid w:val="005B032C"/>
    <w:rsid w:val="005B0459"/>
    <w:rsid w:val="005B4EC3"/>
    <w:rsid w:val="005B4F00"/>
    <w:rsid w:val="005C275A"/>
    <w:rsid w:val="005C2E3C"/>
    <w:rsid w:val="005C5748"/>
    <w:rsid w:val="005C5952"/>
    <w:rsid w:val="005C7E79"/>
    <w:rsid w:val="005D0881"/>
    <w:rsid w:val="005D08E3"/>
    <w:rsid w:val="005D331A"/>
    <w:rsid w:val="005D3D20"/>
    <w:rsid w:val="005D4105"/>
    <w:rsid w:val="005D71E5"/>
    <w:rsid w:val="005E05DF"/>
    <w:rsid w:val="005E077E"/>
    <w:rsid w:val="005E1535"/>
    <w:rsid w:val="005E1B96"/>
    <w:rsid w:val="005E326E"/>
    <w:rsid w:val="005E4127"/>
    <w:rsid w:val="005E5C1A"/>
    <w:rsid w:val="005E68DD"/>
    <w:rsid w:val="005E79D6"/>
    <w:rsid w:val="005F03C8"/>
    <w:rsid w:val="005F0759"/>
    <w:rsid w:val="005F2BC1"/>
    <w:rsid w:val="005F5D51"/>
    <w:rsid w:val="005F7701"/>
    <w:rsid w:val="00603DE6"/>
    <w:rsid w:val="006041D8"/>
    <w:rsid w:val="0060688F"/>
    <w:rsid w:val="00606F21"/>
    <w:rsid w:val="0061235D"/>
    <w:rsid w:val="0061268C"/>
    <w:rsid w:val="00613D9E"/>
    <w:rsid w:val="00621096"/>
    <w:rsid w:val="006220B1"/>
    <w:rsid w:val="0062307C"/>
    <w:rsid w:val="0062332E"/>
    <w:rsid w:val="00623DF6"/>
    <w:rsid w:val="00624320"/>
    <w:rsid w:val="00624BFE"/>
    <w:rsid w:val="0062555B"/>
    <w:rsid w:val="006277E8"/>
    <w:rsid w:val="006301A2"/>
    <w:rsid w:val="00631E44"/>
    <w:rsid w:val="006340FA"/>
    <w:rsid w:val="00634854"/>
    <w:rsid w:val="00634F6A"/>
    <w:rsid w:val="00635C04"/>
    <w:rsid w:val="00636036"/>
    <w:rsid w:val="00636114"/>
    <w:rsid w:val="0063635C"/>
    <w:rsid w:val="00640115"/>
    <w:rsid w:val="00640178"/>
    <w:rsid w:val="00646AA3"/>
    <w:rsid w:val="0064712A"/>
    <w:rsid w:val="00647CDC"/>
    <w:rsid w:val="0065156C"/>
    <w:rsid w:val="006517AA"/>
    <w:rsid w:val="00653135"/>
    <w:rsid w:val="00655B06"/>
    <w:rsid w:val="00657CE2"/>
    <w:rsid w:val="00660963"/>
    <w:rsid w:val="00661437"/>
    <w:rsid w:val="00661A84"/>
    <w:rsid w:val="00662257"/>
    <w:rsid w:val="006639CA"/>
    <w:rsid w:val="00664399"/>
    <w:rsid w:val="006665DE"/>
    <w:rsid w:val="006667E6"/>
    <w:rsid w:val="00667A64"/>
    <w:rsid w:val="00667D18"/>
    <w:rsid w:val="006802C3"/>
    <w:rsid w:val="00682384"/>
    <w:rsid w:val="00682A52"/>
    <w:rsid w:val="00682AF6"/>
    <w:rsid w:val="0068373C"/>
    <w:rsid w:val="00683AB0"/>
    <w:rsid w:val="00684C5B"/>
    <w:rsid w:val="0068751D"/>
    <w:rsid w:val="00692A2A"/>
    <w:rsid w:val="00692A4D"/>
    <w:rsid w:val="00692C82"/>
    <w:rsid w:val="006940C3"/>
    <w:rsid w:val="006940F1"/>
    <w:rsid w:val="00695B7E"/>
    <w:rsid w:val="00696E42"/>
    <w:rsid w:val="00697BC0"/>
    <w:rsid w:val="006A0475"/>
    <w:rsid w:val="006A116A"/>
    <w:rsid w:val="006A1A39"/>
    <w:rsid w:val="006A2653"/>
    <w:rsid w:val="006A2C2F"/>
    <w:rsid w:val="006A2F38"/>
    <w:rsid w:val="006A54BE"/>
    <w:rsid w:val="006A5A17"/>
    <w:rsid w:val="006A7D08"/>
    <w:rsid w:val="006B193C"/>
    <w:rsid w:val="006B26BC"/>
    <w:rsid w:val="006B2C6F"/>
    <w:rsid w:val="006B3AA6"/>
    <w:rsid w:val="006B4FD7"/>
    <w:rsid w:val="006B56A1"/>
    <w:rsid w:val="006B5CFF"/>
    <w:rsid w:val="006B7BC6"/>
    <w:rsid w:val="006C1E36"/>
    <w:rsid w:val="006C3E89"/>
    <w:rsid w:val="006C4B05"/>
    <w:rsid w:val="006C73CA"/>
    <w:rsid w:val="006D03FD"/>
    <w:rsid w:val="006D0CAC"/>
    <w:rsid w:val="006D7C26"/>
    <w:rsid w:val="006E0C76"/>
    <w:rsid w:val="006E16EF"/>
    <w:rsid w:val="006E18F6"/>
    <w:rsid w:val="006E2765"/>
    <w:rsid w:val="006E66BE"/>
    <w:rsid w:val="006F4A7A"/>
    <w:rsid w:val="006F6A17"/>
    <w:rsid w:val="006F71F6"/>
    <w:rsid w:val="00701D92"/>
    <w:rsid w:val="0070308A"/>
    <w:rsid w:val="007032C6"/>
    <w:rsid w:val="0070543F"/>
    <w:rsid w:val="00707B22"/>
    <w:rsid w:val="00712437"/>
    <w:rsid w:val="00714A0E"/>
    <w:rsid w:val="00715300"/>
    <w:rsid w:val="007156B6"/>
    <w:rsid w:val="00715D94"/>
    <w:rsid w:val="007250E6"/>
    <w:rsid w:val="00725B69"/>
    <w:rsid w:val="00726526"/>
    <w:rsid w:val="0072677B"/>
    <w:rsid w:val="007278C0"/>
    <w:rsid w:val="007311E4"/>
    <w:rsid w:val="00733B22"/>
    <w:rsid w:val="00734D92"/>
    <w:rsid w:val="00736851"/>
    <w:rsid w:val="007376D2"/>
    <w:rsid w:val="00743741"/>
    <w:rsid w:val="00743E65"/>
    <w:rsid w:val="007444F6"/>
    <w:rsid w:val="007471AC"/>
    <w:rsid w:val="007512E6"/>
    <w:rsid w:val="007535D8"/>
    <w:rsid w:val="00753F4F"/>
    <w:rsid w:val="007542F4"/>
    <w:rsid w:val="0075798A"/>
    <w:rsid w:val="00760446"/>
    <w:rsid w:val="007610FB"/>
    <w:rsid w:val="0076139F"/>
    <w:rsid w:val="00764A65"/>
    <w:rsid w:val="00765D34"/>
    <w:rsid w:val="0076760D"/>
    <w:rsid w:val="00770A9F"/>
    <w:rsid w:val="00773543"/>
    <w:rsid w:val="00773700"/>
    <w:rsid w:val="007737A2"/>
    <w:rsid w:val="00776052"/>
    <w:rsid w:val="007761E2"/>
    <w:rsid w:val="00777522"/>
    <w:rsid w:val="00780D74"/>
    <w:rsid w:val="00783AED"/>
    <w:rsid w:val="00791B99"/>
    <w:rsid w:val="00794545"/>
    <w:rsid w:val="00796F42"/>
    <w:rsid w:val="00797754"/>
    <w:rsid w:val="007A154B"/>
    <w:rsid w:val="007A163F"/>
    <w:rsid w:val="007A29F2"/>
    <w:rsid w:val="007A3873"/>
    <w:rsid w:val="007A4877"/>
    <w:rsid w:val="007A5176"/>
    <w:rsid w:val="007A6481"/>
    <w:rsid w:val="007A78FA"/>
    <w:rsid w:val="007B05BF"/>
    <w:rsid w:val="007B3315"/>
    <w:rsid w:val="007B4505"/>
    <w:rsid w:val="007B4527"/>
    <w:rsid w:val="007C12CA"/>
    <w:rsid w:val="007C271C"/>
    <w:rsid w:val="007C36EF"/>
    <w:rsid w:val="007C48E2"/>
    <w:rsid w:val="007C5161"/>
    <w:rsid w:val="007D1324"/>
    <w:rsid w:val="007D18C3"/>
    <w:rsid w:val="007D57ED"/>
    <w:rsid w:val="007D5A75"/>
    <w:rsid w:val="007D7CBC"/>
    <w:rsid w:val="007D7CCA"/>
    <w:rsid w:val="007E127C"/>
    <w:rsid w:val="007E1C6A"/>
    <w:rsid w:val="007E512F"/>
    <w:rsid w:val="007E5C1F"/>
    <w:rsid w:val="007F01E0"/>
    <w:rsid w:val="007F0B51"/>
    <w:rsid w:val="007F2199"/>
    <w:rsid w:val="007F38BE"/>
    <w:rsid w:val="007F7C71"/>
    <w:rsid w:val="008001D4"/>
    <w:rsid w:val="00800431"/>
    <w:rsid w:val="00800820"/>
    <w:rsid w:val="00800F3C"/>
    <w:rsid w:val="00803C85"/>
    <w:rsid w:val="00805909"/>
    <w:rsid w:val="00805F8E"/>
    <w:rsid w:val="00806D09"/>
    <w:rsid w:val="00812797"/>
    <w:rsid w:val="00813D99"/>
    <w:rsid w:val="00814272"/>
    <w:rsid w:val="00814344"/>
    <w:rsid w:val="00815439"/>
    <w:rsid w:val="008178E6"/>
    <w:rsid w:val="00820209"/>
    <w:rsid w:val="0082184A"/>
    <w:rsid w:val="008218DB"/>
    <w:rsid w:val="0082403C"/>
    <w:rsid w:val="00824BAE"/>
    <w:rsid w:val="0082640E"/>
    <w:rsid w:val="00826B8E"/>
    <w:rsid w:val="00827D8E"/>
    <w:rsid w:val="0083190F"/>
    <w:rsid w:val="008355AA"/>
    <w:rsid w:val="00836581"/>
    <w:rsid w:val="00836760"/>
    <w:rsid w:val="008409F0"/>
    <w:rsid w:val="00840BC3"/>
    <w:rsid w:val="00844CCD"/>
    <w:rsid w:val="00847890"/>
    <w:rsid w:val="008506F7"/>
    <w:rsid w:val="00850FC2"/>
    <w:rsid w:val="0085210F"/>
    <w:rsid w:val="0085257E"/>
    <w:rsid w:val="0085410B"/>
    <w:rsid w:val="00857C5C"/>
    <w:rsid w:val="00857EA7"/>
    <w:rsid w:val="00861FC7"/>
    <w:rsid w:val="0086342A"/>
    <w:rsid w:val="00863CCE"/>
    <w:rsid w:val="00863CD7"/>
    <w:rsid w:val="00864671"/>
    <w:rsid w:val="0086538E"/>
    <w:rsid w:val="00865AF7"/>
    <w:rsid w:val="0087247E"/>
    <w:rsid w:val="0087292A"/>
    <w:rsid w:val="0087552D"/>
    <w:rsid w:val="008846C9"/>
    <w:rsid w:val="008848F1"/>
    <w:rsid w:val="00885BAF"/>
    <w:rsid w:val="00886471"/>
    <w:rsid w:val="00890A04"/>
    <w:rsid w:val="00890ABC"/>
    <w:rsid w:val="00890DE9"/>
    <w:rsid w:val="00891384"/>
    <w:rsid w:val="0089281D"/>
    <w:rsid w:val="00893080"/>
    <w:rsid w:val="00893FF8"/>
    <w:rsid w:val="00894939"/>
    <w:rsid w:val="00894AF2"/>
    <w:rsid w:val="00897E37"/>
    <w:rsid w:val="008A008C"/>
    <w:rsid w:val="008A0794"/>
    <w:rsid w:val="008A17B5"/>
    <w:rsid w:val="008A187C"/>
    <w:rsid w:val="008A24EE"/>
    <w:rsid w:val="008A7D9C"/>
    <w:rsid w:val="008B2459"/>
    <w:rsid w:val="008B49A9"/>
    <w:rsid w:val="008B4B52"/>
    <w:rsid w:val="008B663B"/>
    <w:rsid w:val="008B77A9"/>
    <w:rsid w:val="008C15B8"/>
    <w:rsid w:val="008C1D01"/>
    <w:rsid w:val="008C3256"/>
    <w:rsid w:val="008C3DA6"/>
    <w:rsid w:val="008C4047"/>
    <w:rsid w:val="008C5BD7"/>
    <w:rsid w:val="008D1317"/>
    <w:rsid w:val="008D3AC3"/>
    <w:rsid w:val="008D4961"/>
    <w:rsid w:val="008D4EA7"/>
    <w:rsid w:val="008D573D"/>
    <w:rsid w:val="008E3E4F"/>
    <w:rsid w:val="008E4916"/>
    <w:rsid w:val="008E52A8"/>
    <w:rsid w:val="008F186A"/>
    <w:rsid w:val="008F1F2B"/>
    <w:rsid w:val="008F286B"/>
    <w:rsid w:val="008F3F48"/>
    <w:rsid w:val="008F5586"/>
    <w:rsid w:val="008F57EE"/>
    <w:rsid w:val="008F5BA5"/>
    <w:rsid w:val="008F63D7"/>
    <w:rsid w:val="008F67E7"/>
    <w:rsid w:val="008F698F"/>
    <w:rsid w:val="00902F5E"/>
    <w:rsid w:val="0090487A"/>
    <w:rsid w:val="00906699"/>
    <w:rsid w:val="00907A3A"/>
    <w:rsid w:val="00910CEF"/>
    <w:rsid w:val="00911BE4"/>
    <w:rsid w:val="00914346"/>
    <w:rsid w:val="00915502"/>
    <w:rsid w:val="009164F0"/>
    <w:rsid w:val="00916717"/>
    <w:rsid w:val="009167D2"/>
    <w:rsid w:val="0091688B"/>
    <w:rsid w:val="00916AC8"/>
    <w:rsid w:val="00921C9E"/>
    <w:rsid w:val="00922E1F"/>
    <w:rsid w:val="00923B76"/>
    <w:rsid w:val="0092427A"/>
    <w:rsid w:val="0092471A"/>
    <w:rsid w:val="009400A6"/>
    <w:rsid w:val="009423FE"/>
    <w:rsid w:val="0094262A"/>
    <w:rsid w:val="00943FBF"/>
    <w:rsid w:val="0094531E"/>
    <w:rsid w:val="00947FB2"/>
    <w:rsid w:val="00951D88"/>
    <w:rsid w:val="0095326D"/>
    <w:rsid w:val="00953575"/>
    <w:rsid w:val="009538C7"/>
    <w:rsid w:val="00954385"/>
    <w:rsid w:val="00955095"/>
    <w:rsid w:val="009552AD"/>
    <w:rsid w:val="00955993"/>
    <w:rsid w:val="0095683E"/>
    <w:rsid w:val="00957584"/>
    <w:rsid w:val="009579D4"/>
    <w:rsid w:val="00961A82"/>
    <w:rsid w:val="00962432"/>
    <w:rsid w:val="009630EF"/>
    <w:rsid w:val="00963FC3"/>
    <w:rsid w:val="00965039"/>
    <w:rsid w:val="0096575B"/>
    <w:rsid w:val="00965B8D"/>
    <w:rsid w:val="00966D32"/>
    <w:rsid w:val="00974BFA"/>
    <w:rsid w:val="00976531"/>
    <w:rsid w:val="009804BC"/>
    <w:rsid w:val="00981397"/>
    <w:rsid w:val="00981694"/>
    <w:rsid w:val="00981AD9"/>
    <w:rsid w:val="0098290B"/>
    <w:rsid w:val="0098737A"/>
    <w:rsid w:val="009876F0"/>
    <w:rsid w:val="00987B24"/>
    <w:rsid w:val="0099104A"/>
    <w:rsid w:val="00994905"/>
    <w:rsid w:val="009A24AB"/>
    <w:rsid w:val="009A3350"/>
    <w:rsid w:val="009A412C"/>
    <w:rsid w:val="009B14A5"/>
    <w:rsid w:val="009B1C31"/>
    <w:rsid w:val="009B38F1"/>
    <w:rsid w:val="009B42EB"/>
    <w:rsid w:val="009B466D"/>
    <w:rsid w:val="009B4860"/>
    <w:rsid w:val="009B5075"/>
    <w:rsid w:val="009B66A3"/>
    <w:rsid w:val="009B774A"/>
    <w:rsid w:val="009B7D77"/>
    <w:rsid w:val="009C0899"/>
    <w:rsid w:val="009C51C4"/>
    <w:rsid w:val="009C5DAE"/>
    <w:rsid w:val="009C707D"/>
    <w:rsid w:val="009D1E8A"/>
    <w:rsid w:val="009D4795"/>
    <w:rsid w:val="009E106C"/>
    <w:rsid w:val="009E738A"/>
    <w:rsid w:val="009F0C92"/>
    <w:rsid w:val="009F106D"/>
    <w:rsid w:val="009F1C41"/>
    <w:rsid w:val="009F33C3"/>
    <w:rsid w:val="009F36BD"/>
    <w:rsid w:val="009F4B21"/>
    <w:rsid w:val="009F5D05"/>
    <w:rsid w:val="009F6527"/>
    <w:rsid w:val="009F7420"/>
    <w:rsid w:val="009F7504"/>
    <w:rsid w:val="00A00C7A"/>
    <w:rsid w:val="00A00E40"/>
    <w:rsid w:val="00A01D1F"/>
    <w:rsid w:val="00A04FC2"/>
    <w:rsid w:val="00A073EB"/>
    <w:rsid w:val="00A150A3"/>
    <w:rsid w:val="00A15B7F"/>
    <w:rsid w:val="00A2187B"/>
    <w:rsid w:val="00A22B4C"/>
    <w:rsid w:val="00A23725"/>
    <w:rsid w:val="00A2478D"/>
    <w:rsid w:val="00A24C60"/>
    <w:rsid w:val="00A259CA"/>
    <w:rsid w:val="00A261D6"/>
    <w:rsid w:val="00A31C2A"/>
    <w:rsid w:val="00A323AE"/>
    <w:rsid w:val="00A34023"/>
    <w:rsid w:val="00A36230"/>
    <w:rsid w:val="00A4020E"/>
    <w:rsid w:val="00A402EB"/>
    <w:rsid w:val="00A408BF"/>
    <w:rsid w:val="00A410EB"/>
    <w:rsid w:val="00A41D2A"/>
    <w:rsid w:val="00A43969"/>
    <w:rsid w:val="00A44979"/>
    <w:rsid w:val="00A47AAA"/>
    <w:rsid w:val="00A50806"/>
    <w:rsid w:val="00A52A48"/>
    <w:rsid w:val="00A5381E"/>
    <w:rsid w:val="00A55DE2"/>
    <w:rsid w:val="00A5789C"/>
    <w:rsid w:val="00A60E67"/>
    <w:rsid w:val="00A61AB0"/>
    <w:rsid w:val="00A6321A"/>
    <w:rsid w:val="00A641BF"/>
    <w:rsid w:val="00A64DDA"/>
    <w:rsid w:val="00A65B54"/>
    <w:rsid w:val="00A65FFC"/>
    <w:rsid w:val="00A663AE"/>
    <w:rsid w:val="00A66912"/>
    <w:rsid w:val="00A66A01"/>
    <w:rsid w:val="00A70E95"/>
    <w:rsid w:val="00A71BA5"/>
    <w:rsid w:val="00A731BB"/>
    <w:rsid w:val="00A74704"/>
    <w:rsid w:val="00A75968"/>
    <w:rsid w:val="00A76765"/>
    <w:rsid w:val="00A77EA9"/>
    <w:rsid w:val="00A81149"/>
    <w:rsid w:val="00A83A82"/>
    <w:rsid w:val="00A83A8E"/>
    <w:rsid w:val="00A8524C"/>
    <w:rsid w:val="00A8603E"/>
    <w:rsid w:val="00A8684A"/>
    <w:rsid w:val="00A90078"/>
    <w:rsid w:val="00A90E6A"/>
    <w:rsid w:val="00A91BAB"/>
    <w:rsid w:val="00A93294"/>
    <w:rsid w:val="00A97ED2"/>
    <w:rsid w:val="00AA29F1"/>
    <w:rsid w:val="00AA3514"/>
    <w:rsid w:val="00AA4167"/>
    <w:rsid w:val="00AA4AEE"/>
    <w:rsid w:val="00AA5E68"/>
    <w:rsid w:val="00AA65E3"/>
    <w:rsid w:val="00AB2FCC"/>
    <w:rsid w:val="00AB5FCE"/>
    <w:rsid w:val="00AB693F"/>
    <w:rsid w:val="00AB7ACB"/>
    <w:rsid w:val="00AB7EC9"/>
    <w:rsid w:val="00AC1316"/>
    <w:rsid w:val="00AC2E51"/>
    <w:rsid w:val="00AC2F7B"/>
    <w:rsid w:val="00AC379D"/>
    <w:rsid w:val="00AD0499"/>
    <w:rsid w:val="00AD36EA"/>
    <w:rsid w:val="00AD6E6A"/>
    <w:rsid w:val="00AE00A0"/>
    <w:rsid w:val="00AE3BA7"/>
    <w:rsid w:val="00AE6044"/>
    <w:rsid w:val="00AF1F8D"/>
    <w:rsid w:val="00AF230C"/>
    <w:rsid w:val="00AF28FA"/>
    <w:rsid w:val="00AF2A3E"/>
    <w:rsid w:val="00AF30F8"/>
    <w:rsid w:val="00AF5E70"/>
    <w:rsid w:val="00AF6E2C"/>
    <w:rsid w:val="00AF7072"/>
    <w:rsid w:val="00B0583E"/>
    <w:rsid w:val="00B06CF9"/>
    <w:rsid w:val="00B10C52"/>
    <w:rsid w:val="00B12062"/>
    <w:rsid w:val="00B120EA"/>
    <w:rsid w:val="00B13A6F"/>
    <w:rsid w:val="00B152C2"/>
    <w:rsid w:val="00B15F50"/>
    <w:rsid w:val="00B163ED"/>
    <w:rsid w:val="00B172B9"/>
    <w:rsid w:val="00B17304"/>
    <w:rsid w:val="00B208C5"/>
    <w:rsid w:val="00B209A0"/>
    <w:rsid w:val="00B21255"/>
    <w:rsid w:val="00B2251F"/>
    <w:rsid w:val="00B24F45"/>
    <w:rsid w:val="00B252B6"/>
    <w:rsid w:val="00B271A3"/>
    <w:rsid w:val="00B302D0"/>
    <w:rsid w:val="00B305FD"/>
    <w:rsid w:val="00B30DCB"/>
    <w:rsid w:val="00B30F94"/>
    <w:rsid w:val="00B35E77"/>
    <w:rsid w:val="00B35F49"/>
    <w:rsid w:val="00B36F3F"/>
    <w:rsid w:val="00B407C5"/>
    <w:rsid w:val="00B40E4A"/>
    <w:rsid w:val="00B42534"/>
    <w:rsid w:val="00B455EC"/>
    <w:rsid w:val="00B46467"/>
    <w:rsid w:val="00B47012"/>
    <w:rsid w:val="00B47493"/>
    <w:rsid w:val="00B507E8"/>
    <w:rsid w:val="00B508D9"/>
    <w:rsid w:val="00B532D5"/>
    <w:rsid w:val="00B54E34"/>
    <w:rsid w:val="00B557F6"/>
    <w:rsid w:val="00B56E68"/>
    <w:rsid w:val="00B62BBE"/>
    <w:rsid w:val="00B63DC8"/>
    <w:rsid w:val="00B6511D"/>
    <w:rsid w:val="00B66E74"/>
    <w:rsid w:val="00B73ABB"/>
    <w:rsid w:val="00B74CC2"/>
    <w:rsid w:val="00B75589"/>
    <w:rsid w:val="00B80404"/>
    <w:rsid w:val="00B81166"/>
    <w:rsid w:val="00B81C4D"/>
    <w:rsid w:val="00B8201E"/>
    <w:rsid w:val="00B82489"/>
    <w:rsid w:val="00B82660"/>
    <w:rsid w:val="00B82C38"/>
    <w:rsid w:val="00B835E6"/>
    <w:rsid w:val="00B86412"/>
    <w:rsid w:val="00B86D61"/>
    <w:rsid w:val="00B91A39"/>
    <w:rsid w:val="00B94003"/>
    <w:rsid w:val="00B97927"/>
    <w:rsid w:val="00BA01D9"/>
    <w:rsid w:val="00BA21A7"/>
    <w:rsid w:val="00BA26D7"/>
    <w:rsid w:val="00BA3780"/>
    <w:rsid w:val="00BA6908"/>
    <w:rsid w:val="00BB0601"/>
    <w:rsid w:val="00BB1801"/>
    <w:rsid w:val="00BB42BE"/>
    <w:rsid w:val="00BB4ACD"/>
    <w:rsid w:val="00BB4D05"/>
    <w:rsid w:val="00BC6808"/>
    <w:rsid w:val="00BC7F41"/>
    <w:rsid w:val="00BD0C38"/>
    <w:rsid w:val="00BD2F38"/>
    <w:rsid w:val="00BD329A"/>
    <w:rsid w:val="00BE0179"/>
    <w:rsid w:val="00BE1C51"/>
    <w:rsid w:val="00BE2F11"/>
    <w:rsid w:val="00BE47A4"/>
    <w:rsid w:val="00BE5938"/>
    <w:rsid w:val="00BE6144"/>
    <w:rsid w:val="00BE6EB9"/>
    <w:rsid w:val="00BF291D"/>
    <w:rsid w:val="00BF2A21"/>
    <w:rsid w:val="00BF2DF2"/>
    <w:rsid w:val="00BF3927"/>
    <w:rsid w:val="00BF3E7F"/>
    <w:rsid w:val="00BF4F8C"/>
    <w:rsid w:val="00BF598F"/>
    <w:rsid w:val="00BF6335"/>
    <w:rsid w:val="00BF72C1"/>
    <w:rsid w:val="00C0109E"/>
    <w:rsid w:val="00C019CD"/>
    <w:rsid w:val="00C06559"/>
    <w:rsid w:val="00C074E3"/>
    <w:rsid w:val="00C11ED1"/>
    <w:rsid w:val="00C130C9"/>
    <w:rsid w:val="00C1385C"/>
    <w:rsid w:val="00C13DE0"/>
    <w:rsid w:val="00C15E7D"/>
    <w:rsid w:val="00C164EB"/>
    <w:rsid w:val="00C17293"/>
    <w:rsid w:val="00C211E9"/>
    <w:rsid w:val="00C22241"/>
    <w:rsid w:val="00C23F5E"/>
    <w:rsid w:val="00C241E0"/>
    <w:rsid w:val="00C25555"/>
    <w:rsid w:val="00C30146"/>
    <w:rsid w:val="00C30B6F"/>
    <w:rsid w:val="00C32B24"/>
    <w:rsid w:val="00C33ECF"/>
    <w:rsid w:val="00C33F97"/>
    <w:rsid w:val="00C344B6"/>
    <w:rsid w:val="00C34A13"/>
    <w:rsid w:val="00C35E60"/>
    <w:rsid w:val="00C3718D"/>
    <w:rsid w:val="00C37265"/>
    <w:rsid w:val="00C52D19"/>
    <w:rsid w:val="00C5489A"/>
    <w:rsid w:val="00C5597F"/>
    <w:rsid w:val="00C5653F"/>
    <w:rsid w:val="00C607BF"/>
    <w:rsid w:val="00C611E1"/>
    <w:rsid w:val="00C61E32"/>
    <w:rsid w:val="00C6564B"/>
    <w:rsid w:val="00C66BA7"/>
    <w:rsid w:val="00C66C59"/>
    <w:rsid w:val="00C708E7"/>
    <w:rsid w:val="00C70EC6"/>
    <w:rsid w:val="00C718C6"/>
    <w:rsid w:val="00C72F29"/>
    <w:rsid w:val="00C75938"/>
    <w:rsid w:val="00C766F4"/>
    <w:rsid w:val="00C80831"/>
    <w:rsid w:val="00C83CE1"/>
    <w:rsid w:val="00C913E2"/>
    <w:rsid w:val="00C91934"/>
    <w:rsid w:val="00C939A9"/>
    <w:rsid w:val="00C939E3"/>
    <w:rsid w:val="00C953E0"/>
    <w:rsid w:val="00C953E1"/>
    <w:rsid w:val="00C9587A"/>
    <w:rsid w:val="00C95A3B"/>
    <w:rsid w:val="00C978FB"/>
    <w:rsid w:val="00CA0369"/>
    <w:rsid w:val="00CA2CBF"/>
    <w:rsid w:val="00CA44F2"/>
    <w:rsid w:val="00CA4A45"/>
    <w:rsid w:val="00CA7A50"/>
    <w:rsid w:val="00CB05BF"/>
    <w:rsid w:val="00CB312B"/>
    <w:rsid w:val="00CB3522"/>
    <w:rsid w:val="00CB6921"/>
    <w:rsid w:val="00CC0C2D"/>
    <w:rsid w:val="00CC1A05"/>
    <w:rsid w:val="00CC3275"/>
    <w:rsid w:val="00CC5684"/>
    <w:rsid w:val="00CD0126"/>
    <w:rsid w:val="00CD27F3"/>
    <w:rsid w:val="00CD2E0F"/>
    <w:rsid w:val="00CD2E5D"/>
    <w:rsid w:val="00CD3E56"/>
    <w:rsid w:val="00CD5B1D"/>
    <w:rsid w:val="00CD6413"/>
    <w:rsid w:val="00CD65CF"/>
    <w:rsid w:val="00CE0282"/>
    <w:rsid w:val="00CE1F31"/>
    <w:rsid w:val="00CE2662"/>
    <w:rsid w:val="00CE3D0D"/>
    <w:rsid w:val="00CE5680"/>
    <w:rsid w:val="00CE5C40"/>
    <w:rsid w:val="00CF1CA5"/>
    <w:rsid w:val="00CF2C03"/>
    <w:rsid w:val="00CF3EA9"/>
    <w:rsid w:val="00CF6A94"/>
    <w:rsid w:val="00CF7D28"/>
    <w:rsid w:val="00D058D5"/>
    <w:rsid w:val="00D05E11"/>
    <w:rsid w:val="00D061FC"/>
    <w:rsid w:val="00D063ED"/>
    <w:rsid w:val="00D102A1"/>
    <w:rsid w:val="00D126C4"/>
    <w:rsid w:val="00D143FA"/>
    <w:rsid w:val="00D14A60"/>
    <w:rsid w:val="00D166FE"/>
    <w:rsid w:val="00D17530"/>
    <w:rsid w:val="00D17D6C"/>
    <w:rsid w:val="00D237EB"/>
    <w:rsid w:val="00D2399D"/>
    <w:rsid w:val="00D241ED"/>
    <w:rsid w:val="00D24CAC"/>
    <w:rsid w:val="00D26DCA"/>
    <w:rsid w:val="00D301D6"/>
    <w:rsid w:val="00D30810"/>
    <w:rsid w:val="00D30AF6"/>
    <w:rsid w:val="00D321E3"/>
    <w:rsid w:val="00D34972"/>
    <w:rsid w:val="00D365F7"/>
    <w:rsid w:val="00D374DA"/>
    <w:rsid w:val="00D37C83"/>
    <w:rsid w:val="00D42610"/>
    <w:rsid w:val="00D45C02"/>
    <w:rsid w:val="00D4795E"/>
    <w:rsid w:val="00D47E33"/>
    <w:rsid w:val="00D5159D"/>
    <w:rsid w:val="00D52F92"/>
    <w:rsid w:val="00D5314E"/>
    <w:rsid w:val="00D532DC"/>
    <w:rsid w:val="00D53CB8"/>
    <w:rsid w:val="00D552B1"/>
    <w:rsid w:val="00D554E5"/>
    <w:rsid w:val="00D57DA8"/>
    <w:rsid w:val="00D60C4B"/>
    <w:rsid w:val="00D6102C"/>
    <w:rsid w:val="00D612B7"/>
    <w:rsid w:val="00D66B1F"/>
    <w:rsid w:val="00D66C56"/>
    <w:rsid w:val="00D67621"/>
    <w:rsid w:val="00D7109B"/>
    <w:rsid w:val="00D713DB"/>
    <w:rsid w:val="00D72B2A"/>
    <w:rsid w:val="00D72FD5"/>
    <w:rsid w:val="00D7408F"/>
    <w:rsid w:val="00D77F41"/>
    <w:rsid w:val="00D803C6"/>
    <w:rsid w:val="00D817EA"/>
    <w:rsid w:val="00D85314"/>
    <w:rsid w:val="00D85BB8"/>
    <w:rsid w:val="00D86355"/>
    <w:rsid w:val="00D8718B"/>
    <w:rsid w:val="00D906FD"/>
    <w:rsid w:val="00D908C0"/>
    <w:rsid w:val="00D92AC7"/>
    <w:rsid w:val="00D92B75"/>
    <w:rsid w:val="00D93039"/>
    <w:rsid w:val="00D947C6"/>
    <w:rsid w:val="00D95DE9"/>
    <w:rsid w:val="00D97E64"/>
    <w:rsid w:val="00DA05CA"/>
    <w:rsid w:val="00DA06D2"/>
    <w:rsid w:val="00DA3177"/>
    <w:rsid w:val="00DA4030"/>
    <w:rsid w:val="00DA4A6F"/>
    <w:rsid w:val="00DA5265"/>
    <w:rsid w:val="00DA5E76"/>
    <w:rsid w:val="00DA6159"/>
    <w:rsid w:val="00DA759E"/>
    <w:rsid w:val="00DA7865"/>
    <w:rsid w:val="00DB2FB3"/>
    <w:rsid w:val="00DB43C9"/>
    <w:rsid w:val="00DB5D6B"/>
    <w:rsid w:val="00DB607B"/>
    <w:rsid w:val="00DB6599"/>
    <w:rsid w:val="00DC1C24"/>
    <w:rsid w:val="00DC21DD"/>
    <w:rsid w:val="00DC4AB9"/>
    <w:rsid w:val="00DC54BE"/>
    <w:rsid w:val="00DC7522"/>
    <w:rsid w:val="00DD285C"/>
    <w:rsid w:val="00DD300E"/>
    <w:rsid w:val="00DD372B"/>
    <w:rsid w:val="00DD4381"/>
    <w:rsid w:val="00DD68FC"/>
    <w:rsid w:val="00DE27A6"/>
    <w:rsid w:val="00DE6E66"/>
    <w:rsid w:val="00DF0C4C"/>
    <w:rsid w:val="00DF3B82"/>
    <w:rsid w:val="00DF4F7E"/>
    <w:rsid w:val="00DF7C8B"/>
    <w:rsid w:val="00E000F1"/>
    <w:rsid w:val="00E01757"/>
    <w:rsid w:val="00E02D21"/>
    <w:rsid w:val="00E035F2"/>
    <w:rsid w:val="00E04AFF"/>
    <w:rsid w:val="00E04B44"/>
    <w:rsid w:val="00E058F2"/>
    <w:rsid w:val="00E12B71"/>
    <w:rsid w:val="00E14D9D"/>
    <w:rsid w:val="00E16DEF"/>
    <w:rsid w:val="00E249EF"/>
    <w:rsid w:val="00E25885"/>
    <w:rsid w:val="00E261E7"/>
    <w:rsid w:val="00E30202"/>
    <w:rsid w:val="00E308EB"/>
    <w:rsid w:val="00E323B0"/>
    <w:rsid w:val="00E337F6"/>
    <w:rsid w:val="00E4153F"/>
    <w:rsid w:val="00E44F34"/>
    <w:rsid w:val="00E52DF0"/>
    <w:rsid w:val="00E537BD"/>
    <w:rsid w:val="00E54A11"/>
    <w:rsid w:val="00E5728A"/>
    <w:rsid w:val="00E61172"/>
    <w:rsid w:val="00E61952"/>
    <w:rsid w:val="00E62354"/>
    <w:rsid w:val="00E629E2"/>
    <w:rsid w:val="00E63959"/>
    <w:rsid w:val="00E63D16"/>
    <w:rsid w:val="00E63F97"/>
    <w:rsid w:val="00E66AC5"/>
    <w:rsid w:val="00E70635"/>
    <w:rsid w:val="00E71130"/>
    <w:rsid w:val="00E76C3A"/>
    <w:rsid w:val="00E77CC9"/>
    <w:rsid w:val="00E805DE"/>
    <w:rsid w:val="00E81358"/>
    <w:rsid w:val="00E81BAE"/>
    <w:rsid w:val="00E850DF"/>
    <w:rsid w:val="00E85245"/>
    <w:rsid w:val="00E865DE"/>
    <w:rsid w:val="00E869FC"/>
    <w:rsid w:val="00E930E7"/>
    <w:rsid w:val="00E940A5"/>
    <w:rsid w:val="00E946D4"/>
    <w:rsid w:val="00E94A93"/>
    <w:rsid w:val="00E961C0"/>
    <w:rsid w:val="00E969C2"/>
    <w:rsid w:val="00E969C6"/>
    <w:rsid w:val="00E971C8"/>
    <w:rsid w:val="00EA0557"/>
    <w:rsid w:val="00EA17D3"/>
    <w:rsid w:val="00EA3456"/>
    <w:rsid w:val="00EA7402"/>
    <w:rsid w:val="00EB089C"/>
    <w:rsid w:val="00EB1CE8"/>
    <w:rsid w:val="00EB6509"/>
    <w:rsid w:val="00EB662B"/>
    <w:rsid w:val="00EC0112"/>
    <w:rsid w:val="00EC129F"/>
    <w:rsid w:val="00EC1877"/>
    <w:rsid w:val="00EC1EEE"/>
    <w:rsid w:val="00EC25C3"/>
    <w:rsid w:val="00EC49E8"/>
    <w:rsid w:val="00EC5CAF"/>
    <w:rsid w:val="00ED1135"/>
    <w:rsid w:val="00ED1E9D"/>
    <w:rsid w:val="00ED2018"/>
    <w:rsid w:val="00ED27D2"/>
    <w:rsid w:val="00EE38CB"/>
    <w:rsid w:val="00EE4FFD"/>
    <w:rsid w:val="00EE5353"/>
    <w:rsid w:val="00EE70B7"/>
    <w:rsid w:val="00EE7356"/>
    <w:rsid w:val="00EF0106"/>
    <w:rsid w:val="00EF2025"/>
    <w:rsid w:val="00EF20C4"/>
    <w:rsid w:val="00EF2611"/>
    <w:rsid w:val="00EF6A6B"/>
    <w:rsid w:val="00EF7259"/>
    <w:rsid w:val="00F003B7"/>
    <w:rsid w:val="00F004BF"/>
    <w:rsid w:val="00F00CFA"/>
    <w:rsid w:val="00F029EE"/>
    <w:rsid w:val="00F02F2D"/>
    <w:rsid w:val="00F05A1C"/>
    <w:rsid w:val="00F06133"/>
    <w:rsid w:val="00F068B9"/>
    <w:rsid w:val="00F07195"/>
    <w:rsid w:val="00F07452"/>
    <w:rsid w:val="00F12277"/>
    <w:rsid w:val="00F132C1"/>
    <w:rsid w:val="00F1406B"/>
    <w:rsid w:val="00F16508"/>
    <w:rsid w:val="00F209B0"/>
    <w:rsid w:val="00F21352"/>
    <w:rsid w:val="00F2139E"/>
    <w:rsid w:val="00F21863"/>
    <w:rsid w:val="00F22D7C"/>
    <w:rsid w:val="00F27047"/>
    <w:rsid w:val="00F32627"/>
    <w:rsid w:val="00F3284E"/>
    <w:rsid w:val="00F371E8"/>
    <w:rsid w:val="00F402E3"/>
    <w:rsid w:val="00F40701"/>
    <w:rsid w:val="00F42031"/>
    <w:rsid w:val="00F420D4"/>
    <w:rsid w:val="00F42B50"/>
    <w:rsid w:val="00F46E77"/>
    <w:rsid w:val="00F505A5"/>
    <w:rsid w:val="00F5221E"/>
    <w:rsid w:val="00F5253C"/>
    <w:rsid w:val="00F52655"/>
    <w:rsid w:val="00F5307E"/>
    <w:rsid w:val="00F557FE"/>
    <w:rsid w:val="00F56567"/>
    <w:rsid w:val="00F569DC"/>
    <w:rsid w:val="00F57D55"/>
    <w:rsid w:val="00F60285"/>
    <w:rsid w:val="00F606C3"/>
    <w:rsid w:val="00F61348"/>
    <w:rsid w:val="00F61546"/>
    <w:rsid w:val="00F63927"/>
    <w:rsid w:val="00F63BB3"/>
    <w:rsid w:val="00F64382"/>
    <w:rsid w:val="00F650F0"/>
    <w:rsid w:val="00F666ED"/>
    <w:rsid w:val="00F702D8"/>
    <w:rsid w:val="00F70421"/>
    <w:rsid w:val="00F7100B"/>
    <w:rsid w:val="00F72E18"/>
    <w:rsid w:val="00F75C29"/>
    <w:rsid w:val="00F76419"/>
    <w:rsid w:val="00F76EE9"/>
    <w:rsid w:val="00F776FE"/>
    <w:rsid w:val="00F77CF2"/>
    <w:rsid w:val="00F80034"/>
    <w:rsid w:val="00F8148A"/>
    <w:rsid w:val="00F81AB3"/>
    <w:rsid w:val="00F8400E"/>
    <w:rsid w:val="00F8513F"/>
    <w:rsid w:val="00F86477"/>
    <w:rsid w:val="00F91FE2"/>
    <w:rsid w:val="00F925CF"/>
    <w:rsid w:val="00F92D5B"/>
    <w:rsid w:val="00F93CCC"/>
    <w:rsid w:val="00F960EE"/>
    <w:rsid w:val="00F96164"/>
    <w:rsid w:val="00F976E9"/>
    <w:rsid w:val="00FA16A6"/>
    <w:rsid w:val="00FA178B"/>
    <w:rsid w:val="00FA1A24"/>
    <w:rsid w:val="00FA2FB6"/>
    <w:rsid w:val="00FA3752"/>
    <w:rsid w:val="00FA4556"/>
    <w:rsid w:val="00FA59B7"/>
    <w:rsid w:val="00FA5A31"/>
    <w:rsid w:val="00FA71DD"/>
    <w:rsid w:val="00FB3D5A"/>
    <w:rsid w:val="00FB5F55"/>
    <w:rsid w:val="00FC078C"/>
    <w:rsid w:val="00FC21BF"/>
    <w:rsid w:val="00FC6695"/>
    <w:rsid w:val="00FC7615"/>
    <w:rsid w:val="00FD0C96"/>
    <w:rsid w:val="00FD1808"/>
    <w:rsid w:val="00FD1E43"/>
    <w:rsid w:val="00FD23C5"/>
    <w:rsid w:val="00FD312B"/>
    <w:rsid w:val="00FD64BE"/>
    <w:rsid w:val="00FD7FCF"/>
    <w:rsid w:val="00FE1B31"/>
    <w:rsid w:val="00FE204D"/>
    <w:rsid w:val="00FE2A26"/>
    <w:rsid w:val="00FE3442"/>
    <w:rsid w:val="00FE7723"/>
    <w:rsid w:val="00FE78D0"/>
    <w:rsid w:val="00FF03CA"/>
    <w:rsid w:val="00FF0FBA"/>
    <w:rsid w:val="00FF4760"/>
    <w:rsid w:val="00FF4DCF"/>
    <w:rsid w:val="00FF60B5"/>
    <w:rsid w:val="2BC4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footnote reference"/>
    <w:basedOn w:val="2"/>
    <w:qFormat/>
    <w:uiPriority w:val="99"/>
    <w:rPr>
      <w:rFonts w:cs="Times New Roman"/>
      <w:vertAlign w:val="superscript"/>
    </w:rPr>
  </w:style>
  <w:style w:type="character" w:styleId="6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4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0">
    <w:name w:val="annotation subject"/>
    <w:basedOn w:val="9"/>
    <w:next w:val="9"/>
    <w:link w:val="46"/>
    <w:semiHidden/>
    <w:unhideWhenUsed/>
    <w:uiPriority w:val="99"/>
    <w:rPr>
      <w:b/>
      <w:bCs/>
    </w:rPr>
  </w:style>
  <w:style w:type="paragraph" w:styleId="11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Body Text Indent"/>
    <w:basedOn w:val="1"/>
    <w:link w:val="18"/>
    <w:qFormat/>
    <w:uiPriority w:val="99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val="zh-CN" w:eastAsia="zh-CN"/>
    </w:rPr>
  </w:style>
  <w:style w:type="paragraph" w:styleId="13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HTML Preformatted"/>
    <w:basedOn w:val="1"/>
    <w:link w:val="23"/>
    <w:semiHidden/>
    <w:unhideWhenUsed/>
    <w:uiPriority w:val="99"/>
    <w:pPr>
      <w:spacing w:after="0" w:line="240" w:lineRule="auto"/>
    </w:pPr>
    <w:rPr>
      <w:rFonts w:ascii="Consolas" w:hAnsi="Consolas"/>
      <w:sz w:val="20"/>
      <w:szCs w:val="20"/>
    </w:rPr>
  </w:style>
  <w:style w:type="table" w:styleId="1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Текст выноски Знак"/>
    <w:basedOn w:val="2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Основной текст с отступом Знак"/>
    <w:basedOn w:val="2"/>
    <w:link w:val="12"/>
    <w:qFormat/>
    <w:uiPriority w:val="99"/>
    <w:rPr>
      <w:rFonts w:ascii="Times New Roman" w:hAnsi="Times New Roman" w:eastAsia="Times New Roman" w:cs="Times New Roman"/>
      <w:sz w:val="20"/>
      <w:szCs w:val="20"/>
      <w:lang w:val="zh-CN" w:eastAsia="zh-CN"/>
    </w:rPr>
  </w:style>
  <w:style w:type="paragraph" w:customStyle="1" w:styleId="19">
    <w:name w:val="ConsPlusTitle"/>
    <w:qFormat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character" w:customStyle="1" w:styleId="20">
    <w:name w:val="Верхний колонтитул Знак"/>
    <w:basedOn w:val="2"/>
    <w:link w:val="11"/>
    <w:qFormat/>
    <w:uiPriority w:val="99"/>
  </w:style>
  <w:style w:type="character" w:customStyle="1" w:styleId="21">
    <w:name w:val="Нижний колонтитул Знак"/>
    <w:basedOn w:val="2"/>
    <w:link w:val="13"/>
    <w:qFormat/>
    <w:uiPriority w:val="99"/>
  </w:style>
  <w:style w:type="character" w:customStyle="1" w:styleId="22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Стандартный HTML Знак"/>
    <w:basedOn w:val="2"/>
    <w:link w:val="15"/>
    <w:qFormat/>
    <w:uiPriority w:val="99"/>
    <w:rPr>
      <w:rFonts w:ascii="Consolas" w:hAnsi="Consolas"/>
      <w:sz w:val="20"/>
      <w:szCs w:val="20"/>
    </w:rPr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table" w:customStyle="1" w:styleId="25">
    <w:name w:val="Сетка таблицы4"/>
    <w:basedOn w:val="3"/>
    <w:uiPriority w:val="39"/>
    <w:pPr>
      <w:spacing w:after="0" w:line="240" w:lineRule="auto"/>
    </w:pPr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">
    <w:name w:val="Обычный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7">
    <w:name w:val="normal__char"/>
    <w:basedOn w:val="2"/>
    <w:qFormat/>
    <w:uiPriority w:val="0"/>
  </w:style>
  <w:style w:type="paragraph" w:customStyle="1" w:styleId="28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29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294" w:lineRule="exact"/>
      <w:ind w:firstLine="634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Font Style14"/>
    <w:qFormat/>
    <w:uiPriority w:val="99"/>
    <w:rPr>
      <w:rFonts w:ascii="Times New Roman" w:hAnsi="Times New Roman"/>
      <w:sz w:val="26"/>
    </w:rPr>
  </w:style>
  <w:style w:type="character" w:customStyle="1" w:styleId="31">
    <w:name w:val="Body text (2)_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32">
    <w:name w:val="Body text (2)"/>
    <w:basedOn w:val="3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2) + 11 pt"/>
    <w:qFormat/>
    <w:uiPriority w:val="0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34">
    <w:name w:val="pt-000004"/>
    <w:qFormat/>
    <w:uiPriority w:val="0"/>
  </w:style>
  <w:style w:type="character" w:customStyle="1" w:styleId="35">
    <w:name w:val="Основной текст (6) Exact"/>
    <w:basedOn w:val="2"/>
    <w:qFormat/>
    <w:uiPriority w:val="0"/>
    <w:rPr>
      <w:rFonts w:ascii="Times New Roman" w:hAnsi="Times New Roman" w:cs="Times New Roman"/>
      <w:sz w:val="20"/>
      <w:szCs w:val="20"/>
      <w:u w:val="none"/>
    </w:rPr>
  </w:style>
  <w:style w:type="character" w:customStyle="1" w:styleId="36">
    <w:name w:val="Основной текст (2)_"/>
    <w:basedOn w:val="2"/>
    <w:link w:val="37"/>
    <w:locked/>
    <w:uiPriority w:val="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7">
    <w:name w:val="Основной текст (2)"/>
    <w:basedOn w:val="1"/>
    <w:link w:val="36"/>
    <w:uiPriority w:val="0"/>
    <w:pPr>
      <w:widowControl w:val="0"/>
      <w:shd w:val="clear" w:color="auto" w:fill="FFFFFF"/>
      <w:spacing w:before="300" w:after="300" w:line="370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8">
    <w:name w:val="Основной текст (6)_"/>
    <w:basedOn w:val="2"/>
    <w:link w:val="39"/>
    <w:qFormat/>
    <w:locked/>
    <w:uiPriority w:val="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9">
    <w:name w:val="Основной текст (6)"/>
    <w:basedOn w:val="1"/>
    <w:link w:val="38"/>
    <w:qFormat/>
    <w:uiPriority w:val="0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z w:val="20"/>
      <w:szCs w:val="20"/>
    </w:rPr>
  </w:style>
  <w:style w:type="character" w:customStyle="1" w:styleId="40">
    <w:name w:val="Основной текст (2) + Курсив"/>
    <w:basedOn w:val="36"/>
    <w:qFormat/>
    <w:uiPriority w:val="0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41">
    <w:name w:val="Основной текст (9)_"/>
    <w:basedOn w:val="2"/>
    <w:link w:val="42"/>
    <w:locked/>
    <w:uiPriority w:val="0"/>
    <w:rPr>
      <w:rFonts w:ascii="Times New Roman" w:hAnsi="Times New Roman" w:cs="Times New Roman"/>
      <w:shd w:val="clear" w:color="auto" w:fill="FFFFFF"/>
    </w:rPr>
  </w:style>
  <w:style w:type="paragraph" w:customStyle="1" w:styleId="42">
    <w:name w:val="Основной текст (9)"/>
    <w:basedOn w:val="1"/>
    <w:link w:val="41"/>
    <w:qFormat/>
    <w:uiPriority w:val="0"/>
    <w:pPr>
      <w:widowControl w:val="0"/>
      <w:shd w:val="clear" w:color="auto" w:fill="FFFFFF"/>
      <w:spacing w:after="720" w:line="240" w:lineRule="atLeast"/>
      <w:jc w:val="both"/>
    </w:pPr>
    <w:rPr>
      <w:rFonts w:ascii="Times New Roman" w:hAnsi="Times New Roman" w:cs="Times New Roman"/>
    </w:rPr>
  </w:style>
  <w:style w:type="character" w:customStyle="1" w:styleId="43">
    <w:name w:val="Заголовок №1_"/>
    <w:basedOn w:val="2"/>
    <w:link w:val="44"/>
    <w:qFormat/>
    <w:locked/>
    <w:uiPriority w:val="0"/>
    <w:rPr>
      <w:rFonts w:ascii="Times New Roman" w:hAnsi="Times New Roman" w:cs="Times New Roman"/>
      <w:spacing w:val="-20"/>
      <w:sz w:val="40"/>
      <w:szCs w:val="40"/>
      <w:shd w:val="clear" w:color="auto" w:fill="FFFFFF"/>
    </w:rPr>
  </w:style>
  <w:style w:type="paragraph" w:customStyle="1" w:styleId="44">
    <w:name w:val="Заголовок №1"/>
    <w:basedOn w:val="1"/>
    <w:link w:val="43"/>
    <w:qFormat/>
    <w:uiPriority w:val="0"/>
    <w:pPr>
      <w:widowControl w:val="0"/>
      <w:shd w:val="clear" w:color="auto" w:fill="FFFFFF"/>
      <w:spacing w:after="6240" w:line="240" w:lineRule="atLeast"/>
      <w:outlineLvl w:val="0"/>
    </w:pPr>
    <w:rPr>
      <w:rFonts w:ascii="Times New Roman" w:hAnsi="Times New Roman" w:cs="Times New Roman"/>
      <w:spacing w:val="-20"/>
      <w:sz w:val="40"/>
      <w:szCs w:val="40"/>
    </w:rPr>
  </w:style>
  <w:style w:type="character" w:customStyle="1" w:styleId="45">
    <w:name w:val="Текст примечания Знак"/>
    <w:basedOn w:val="2"/>
    <w:link w:val="9"/>
    <w:semiHidden/>
    <w:uiPriority w:val="99"/>
    <w:rPr>
      <w:sz w:val="20"/>
      <w:szCs w:val="20"/>
    </w:rPr>
  </w:style>
  <w:style w:type="character" w:customStyle="1" w:styleId="46">
    <w:name w:val="Тема примечания Знак"/>
    <w:basedOn w:val="45"/>
    <w:link w:val="10"/>
    <w:semiHidden/>
    <w:uiPriority w:val="99"/>
    <w:rPr>
      <w:b/>
      <w:bCs/>
      <w:sz w:val="20"/>
      <w:szCs w:val="20"/>
    </w:rPr>
  </w:style>
  <w:style w:type="character" w:customStyle="1" w:styleId="47">
    <w:name w:val="Заголовок №2_"/>
    <w:basedOn w:val="2"/>
    <w:link w:val="48"/>
    <w:uiPriority w:val="0"/>
    <w:rPr>
      <w:rFonts w:ascii="Times New Roman" w:hAnsi="Times New Roman" w:cs="Times New Roman"/>
      <w:b/>
      <w:bCs/>
      <w:color w:val="414146"/>
      <w:sz w:val="26"/>
      <w:szCs w:val="26"/>
    </w:rPr>
  </w:style>
  <w:style w:type="paragraph" w:customStyle="1" w:styleId="48">
    <w:name w:val="Заголовок №2"/>
    <w:basedOn w:val="1"/>
    <w:link w:val="47"/>
    <w:uiPriority w:val="0"/>
    <w:pPr>
      <w:widowControl w:val="0"/>
      <w:spacing w:after="450" w:line="386" w:lineRule="auto"/>
      <w:ind w:firstLine="350"/>
      <w:outlineLvl w:val="1"/>
    </w:pPr>
    <w:rPr>
      <w:rFonts w:ascii="Times New Roman" w:hAnsi="Times New Roman" w:cs="Times New Roman"/>
      <w:b/>
      <w:bCs/>
      <w:color w:val="414146"/>
      <w:sz w:val="26"/>
      <w:szCs w:val="26"/>
    </w:rPr>
  </w:style>
  <w:style w:type="character" w:customStyle="1" w:styleId="49">
    <w:name w:val="Основной текст_"/>
    <w:basedOn w:val="2"/>
    <w:link w:val="50"/>
    <w:uiPriority w:val="0"/>
    <w:rPr>
      <w:rFonts w:ascii="Times New Roman" w:hAnsi="Times New Roman" w:cs="Times New Roman"/>
      <w:color w:val="414146"/>
      <w:sz w:val="26"/>
      <w:szCs w:val="26"/>
    </w:rPr>
  </w:style>
  <w:style w:type="paragraph" w:customStyle="1" w:styleId="50">
    <w:name w:val="Основной текст1"/>
    <w:basedOn w:val="1"/>
    <w:link w:val="49"/>
    <w:uiPriority w:val="0"/>
    <w:pPr>
      <w:widowControl w:val="0"/>
      <w:spacing w:after="0" w:line="480" w:lineRule="auto"/>
      <w:ind w:firstLine="400"/>
    </w:pPr>
    <w:rPr>
      <w:rFonts w:ascii="Times New Roman" w:hAnsi="Times New Roman" w:cs="Times New Roman"/>
      <w:color w:val="414146"/>
      <w:sz w:val="26"/>
      <w:szCs w:val="26"/>
    </w:rPr>
  </w:style>
  <w:style w:type="character" w:customStyle="1" w:styleId="51">
    <w:name w:val="Неразрешенное упоминание2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52">
    <w:name w:val="Стиль1"/>
    <w:basedOn w:val="1"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customStyle="1" w:styleId="53">
    <w:name w:val="_Style 52"/>
    <w:basedOn w:val="1"/>
    <w:next w:val="14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6D31A-915D-4582-B79D-89C65A912C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3419</Words>
  <Characters>23715</Characters>
  <Lines>193</Lines>
  <Paragraphs>54</Paragraphs>
  <TotalTime>1137</TotalTime>
  <ScaleCrop>false</ScaleCrop>
  <LinksUpToDate>false</LinksUpToDate>
  <CharactersWithSpaces>27036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2026-06-08T17:21:00Z</dcterms:created>
  <dc:creator>Остапенко Максим Юрьевич</dc:creator>
  <cp:lastModifiedBy>chetaeva_or</cp:lastModifiedBy>
  <cp:lastPrinted>2026-06-11T05:18:34Z</cp:lastPrinted>
  <dcterms:modified xsi:type="dcterms:W3CDTF">2026-06-11T05:19:43Z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6A4DB38242054B9293837891911576FD_13</vt:lpwstr>
  </property>
</Properties>
</file>